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4A38" w14:textId="53782A05" w:rsidR="005066F1" w:rsidRPr="002D5DF4" w:rsidRDefault="002D5DF4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FE6C04" w:themeColor="text1"/>
          <w:sz w:val="40"/>
          <w:szCs w:val="40"/>
        </w:rPr>
      </w:pPr>
      <w:r w:rsidRPr="002D5DF4">
        <w:rPr>
          <w:rFonts w:asciiTheme="majorHAnsi" w:hAnsiTheme="majorHAnsi"/>
          <w:color w:val="FE6C04" w:themeColor="text1"/>
          <w:sz w:val="40"/>
          <w:szCs w:val="40"/>
        </w:rPr>
        <w:t>SUSTAINABILITY</w:t>
      </w:r>
      <w:r w:rsidR="001603F7" w:rsidRPr="002D5DF4">
        <w:rPr>
          <w:rFonts w:asciiTheme="majorHAnsi" w:hAnsiTheme="majorHAnsi"/>
          <w:color w:val="FE6C04" w:themeColor="text1"/>
          <w:sz w:val="40"/>
          <w:szCs w:val="40"/>
        </w:rPr>
        <w:t xml:space="preserve"> </w:t>
      </w:r>
      <w:r w:rsidR="002D0FD8" w:rsidRPr="002D5DF4">
        <w:rPr>
          <w:rFonts w:asciiTheme="majorHAnsi" w:hAnsiTheme="majorHAnsi"/>
          <w:color w:val="FE6C04" w:themeColor="text1"/>
          <w:sz w:val="40"/>
          <w:szCs w:val="40"/>
        </w:rPr>
        <w:t>EMBEDDING ACTION PLAN</w:t>
      </w:r>
    </w:p>
    <w:p w14:paraId="76107528" w14:textId="3E5C8AA8" w:rsidR="008E4529" w:rsidRDefault="00CF2F2F" w:rsidP="008E4529">
      <w:pPr>
        <w:pStyle w:val="Heading2"/>
        <w:spacing w:before="0"/>
        <w:rPr>
          <w:rFonts w:asciiTheme="majorHAnsi" w:hAnsiTheme="majorHAnsi"/>
          <w:b/>
          <w:bCs/>
          <w:color w:val="505759" w:themeColor="background2"/>
          <w:sz w:val="30"/>
          <w:szCs w:val="30"/>
        </w:rPr>
      </w:pPr>
      <w:r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>EMBEDDING</w:t>
      </w:r>
      <w:r w:rsidR="008E4529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 xml:space="preserve"> </w:t>
      </w:r>
      <w:r w:rsidR="00701C7A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>STEP</w:t>
      </w:r>
      <w:r w:rsidR="008E4529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>S</w:t>
      </w:r>
    </w:p>
    <w:p w14:paraId="706B880C" w14:textId="15714A9A" w:rsidR="008E4529" w:rsidRPr="00CF6A10" w:rsidRDefault="005B5EE7" w:rsidP="008E4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roy-Regular" w:hAnsi="Gilroy-Regular"/>
          <w:color w:val="5F6368"/>
          <w:sz w:val="24"/>
          <w:szCs w:val="24"/>
        </w:rPr>
      </w:pPr>
      <w:r w:rsidRPr="005B5EE7">
        <w:rPr>
          <w:rFonts w:ascii="Gilroy-Regular" w:hAnsi="Gilroy-Regular"/>
          <w:color w:val="5F6368"/>
          <w:sz w:val="24"/>
          <w:szCs w:val="24"/>
        </w:rPr>
        <w:t>There are several steps to consider in turning a short-term improvement into a sustainable change.</w:t>
      </w:r>
    </w:p>
    <w:p w14:paraId="684F32C3" w14:textId="77777777" w:rsidR="008E4529" w:rsidRDefault="008E4529" w:rsidP="008E4529">
      <w:pPr>
        <w:pStyle w:val="Heading2"/>
        <w:spacing w:before="0"/>
        <w:rPr>
          <w:rFonts w:ascii="Gilroy-Regular" w:eastAsia="Droid Serif" w:hAnsi="Gilroy-Regular" w:cs="Droid Serif"/>
          <w:color w:val="5F6368"/>
          <w:sz w:val="24"/>
          <w:szCs w:val="24"/>
        </w:rPr>
      </w:pPr>
    </w:p>
    <w:tbl>
      <w:tblPr>
        <w:tblStyle w:val="a1"/>
        <w:tblW w:w="5108" w:type="pct"/>
        <w:tblBorders>
          <w:top w:val="single" w:sz="8" w:space="0" w:color="FE6C04" w:themeColor="text1"/>
          <w:left w:val="single" w:sz="8" w:space="0" w:color="FE6C04" w:themeColor="text1"/>
          <w:bottom w:val="single" w:sz="8" w:space="0" w:color="FE6C04" w:themeColor="text1"/>
          <w:right w:val="single" w:sz="8" w:space="0" w:color="FE6C04" w:themeColor="text1"/>
          <w:insideH w:val="single" w:sz="8" w:space="0" w:color="FE6C04" w:themeColor="text1"/>
          <w:insideV w:val="single" w:sz="8" w:space="0" w:color="FE6C04" w:themeColor="text1"/>
        </w:tblBorders>
        <w:tblLook w:val="0400" w:firstRow="0" w:lastRow="0" w:firstColumn="0" w:lastColumn="0" w:noHBand="0" w:noVBand="1"/>
      </w:tblPr>
      <w:tblGrid>
        <w:gridCol w:w="2957"/>
        <w:gridCol w:w="6244"/>
      </w:tblGrid>
      <w:tr w:rsidR="008E4529" w14:paraId="66AC146E" w14:textId="77777777" w:rsidTr="00F36B72">
        <w:trPr>
          <w:trHeight w:val="645"/>
        </w:trPr>
        <w:tc>
          <w:tcPr>
            <w:tcW w:w="5000" w:type="pct"/>
            <w:gridSpan w:val="2"/>
            <w:shd w:val="clear" w:color="auto" w:fill="FEE1CC" w:themeFill="text1" w:themeFillTint="33"/>
          </w:tcPr>
          <w:p w14:paraId="415B4D2A" w14:textId="2EB0EF6D" w:rsidR="008E4529" w:rsidRPr="00204DE2" w:rsidRDefault="00DC3A0C" w:rsidP="00E4006F">
            <w:pPr>
              <w:widowControl/>
              <w:spacing w:before="120" w:after="120"/>
              <w:rPr>
                <w:rFonts w:asciiTheme="majorHAnsi" w:eastAsia="Oswald" w:hAnsiTheme="majorHAnsi" w:cs="Oswald"/>
                <w:color w:val="FE6C04" w:themeColor="text1"/>
                <w:sz w:val="24"/>
                <w:szCs w:val="24"/>
              </w:rPr>
            </w:pPr>
            <w:r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SUSTAINABILITY</w:t>
            </w:r>
            <w:r w:rsidR="008E4529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 xml:space="preserve"> </w:t>
            </w:r>
            <w:r w:rsidR="00740800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EMBEDDING</w:t>
            </w:r>
            <w:r w:rsidR="008E4529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 xml:space="preserve"> IDEAS </w:t>
            </w:r>
          </w:p>
        </w:tc>
      </w:tr>
      <w:tr w:rsidR="008E4529" w14:paraId="2033EFEF" w14:textId="77777777" w:rsidTr="00F36B72">
        <w:trPr>
          <w:trHeight w:val="50"/>
        </w:trPr>
        <w:tc>
          <w:tcPr>
            <w:tcW w:w="1607" w:type="pct"/>
          </w:tcPr>
          <w:p w14:paraId="7298A76F" w14:textId="02F8E8CA" w:rsidR="008E4529" w:rsidRPr="00E4006F" w:rsidRDefault="00A33A9E" w:rsidP="00F36B72">
            <w:pPr>
              <w:widowControl/>
              <w:spacing w:before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Carbon Footprint</w:t>
            </w:r>
          </w:p>
        </w:tc>
        <w:tc>
          <w:tcPr>
            <w:tcW w:w="3393" w:type="pct"/>
          </w:tcPr>
          <w:p w14:paraId="7A3AF270" w14:textId="33388028" w:rsidR="00DC0466" w:rsidRDefault="006E04E4" w:rsidP="00064352">
            <w:pPr>
              <w:pStyle w:val="NormalWeb"/>
              <w:spacing w:before="0" w:beforeAutospacing="0" w:after="120" w:afterAutospacing="0"/>
              <w:rPr>
                <w:rFonts w:ascii="Gilroy-Bold" w:hAnsi="Gilroy-Bold"/>
                <w:color w:val="5F6368"/>
              </w:rPr>
            </w:pPr>
            <w:r w:rsidRPr="006E04E4">
              <w:rPr>
                <w:rFonts w:ascii="Gilroy-Bold" w:hAnsi="Gilroy-Bold"/>
                <w:color w:val="5F6368"/>
              </w:rPr>
              <w:t xml:space="preserve">Look for quick wins. What are the small jobs you can do, and changes you can make, that will make a positive impact now? What is your 'sustainability housekeeping' to do list? Let's get those things done now.  </w:t>
            </w:r>
            <w:r w:rsidR="00DD19E1" w:rsidRPr="00DD19E1">
              <w:rPr>
                <w:rFonts w:ascii="Gilroy-Bold" w:hAnsi="Gilroy-Bold"/>
                <w:color w:val="5F6368"/>
              </w:rPr>
              <w:t xml:space="preserve">Greater Manchester has set a target of becoming Carbon Neutral by 2038 </w:t>
            </w:r>
            <w:hyperlink r:id="rId10" w:history="1">
              <w:r w:rsidR="00DC0466" w:rsidRPr="00DC0466">
                <w:rPr>
                  <w:rStyle w:val="Hyperlink"/>
                  <w:rFonts w:ascii="Gilroy-Bold" w:hAnsi="Gilroy-Bold"/>
                </w:rPr>
                <w:t>GMCA Environment Plan</w:t>
              </w:r>
            </w:hyperlink>
            <w:r w:rsidR="00DD19E1" w:rsidRPr="00DD19E1">
              <w:rPr>
                <w:rFonts w:ascii="Gilroy-Bold" w:hAnsi="Gilroy-Bold"/>
                <w:color w:val="5F6368"/>
              </w:rPr>
              <w:t>.  </w:t>
            </w:r>
          </w:p>
          <w:p w14:paraId="79072904" w14:textId="4D89F384" w:rsidR="00DD19E1" w:rsidRDefault="00DD19E1" w:rsidP="00064352">
            <w:pPr>
              <w:pStyle w:val="NormalWeb"/>
              <w:spacing w:before="0" w:beforeAutospacing="0" w:after="120" w:afterAutospacing="0"/>
              <w:rPr>
                <w:rStyle w:val="Hyperlink"/>
                <w:rFonts w:ascii="Gilroy-Bold" w:hAnsi="Gilroy-Bold"/>
              </w:rPr>
            </w:pPr>
            <w:r w:rsidRPr="00DD19E1">
              <w:rPr>
                <w:rFonts w:ascii="Gilroy-Bold" w:hAnsi="Gilroy-Bold"/>
                <w:color w:val="5F6368"/>
              </w:rPr>
              <w:t xml:space="preserve">You can determine actions that your business could take to move towards NetZero by carrying out a carbon footprint audit.  You could also increase awareness of climate change and carbon footprints.  The Carbon Literacy project offers a training pack for </w:t>
            </w:r>
            <w:hyperlink r:id="rId11" w:history="1">
              <w:r w:rsidRPr="00DC0466">
                <w:rPr>
                  <w:rStyle w:val="Hyperlink"/>
                  <w:rFonts w:ascii="Gilroy-Bold" w:hAnsi="Gilroy-Bold"/>
                </w:rPr>
                <w:t>SMEs Carbon Literacy for SMEs</w:t>
              </w:r>
            </w:hyperlink>
          </w:p>
          <w:p w14:paraId="7FCF2F26" w14:textId="611E3F0C" w:rsidR="00D404F5" w:rsidRPr="007B151B" w:rsidRDefault="004D1C73" w:rsidP="00064352">
            <w:pPr>
              <w:pStyle w:val="NormalWeb"/>
              <w:spacing w:before="0" w:beforeAutospacing="0" w:after="120" w:afterAutospacing="0"/>
              <w:rPr>
                <w:rStyle w:val="Hyperlink"/>
              </w:rPr>
            </w:pPr>
            <w:hyperlink r:id="rId12" w:tgtFrame="_blank" w:history="1">
              <w:r w:rsidR="007B151B" w:rsidRPr="007B151B">
                <w:rPr>
                  <w:rStyle w:val="Hyperlink"/>
                  <w:rFonts w:ascii="Gilroy-Bold" w:hAnsi="Gilroy-Bold"/>
                </w:rPr>
                <w:t>Green Economy</w:t>
              </w:r>
            </w:hyperlink>
            <w:r w:rsidR="007B151B">
              <w:rPr>
                <w:rFonts w:ascii="Merriweather" w:hAnsi="Merriweather"/>
                <w:color w:val="000000"/>
                <w:shd w:val="clear" w:color="auto" w:fill="FFFFFF"/>
              </w:rPr>
              <w:t> </w:t>
            </w:r>
            <w:r w:rsidR="007B151B" w:rsidRPr="007B151B">
              <w:rPr>
                <w:rFonts w:ascii="Gilroy-Bold" w:hAnsi="Gilroy-Bold"/>
                <w:color w:val="5F6368"/>
              </w:rPr>
              <w:t>have a Carbon Calculator Tool to help you get started and</w:t>
            </w:r>
            <w:r w:rsidR="007B151B">
              <w:rPr>
                <w:rFonts w:ascii="Merriweather" w:hAnsi="Merriweather"/>
                <w:color w:val="000000"/>
                <w:shd w:val="clear" w:color="auto" w:fill="FFFFFF"/>
              </w:rPr>
              <w:t> </w:t>
            </w:r>
            <w:hyperlink r:id="rId13" w:history="1">
              <w:r w:rsidR="007B151B" w:rsidRPr="003A0512">
                <w:rPr>
                  <w:rStyle w:val="Hyperlink"/>
                  <w:rFonts w:ascii="Gilroy-Bold" w:hAnsi="Gilroy-Bold"/>
                </w:rPr>
                <w:t>NetZero resources</w:t>
              </w:r>
            </w:hyperlink>
          </w:p>
          <w:p w14:paraId="655C479B" w14:textId="22BD6E19" w:rsidR="008E4529" w:rsidRPr="00E4006F" w:rsidRDefault="008E4529" w:rsidP="00F36B72">
            <w:pPr>
              <w:widowControl/>
              <w:spacing w:before="0"/>
              <w:rPr>
                <w:rFonts w:ascii="Gilroy-Bold" w:hAnsi="Gilroy-Bold"/>
                <w:color w:val="5F6368"/>
                <w:sz w:val="24"/>
                <w:szCs w:val="24"/>
              </w:rPr>
            </w:pPr>
          </w:p>
        </w:tc>
      </w:tr>
      <w:tr w:rsidR="008E4529" w14:paraId="149E74C4" w14:textId="77777777" w:rsidTr="00F36B72">
        <w:trPr>
          <w:trHeight w:val="50"/>
        </w:trPr>
        <w:tc>
          <w:tcPr>
            <w:tcW w:w="1607" w:type="pct"/>
          </w:tcPr>
          <w:p w14:paraId="03886983" w14:textId="75CCE4D2" w:rsidR="008E4529" w:rsidRPr="00E4006F" w:rsidRDefault="00A33A9E" w:rsidP="00F36B72">
            <w:pPr>
              <w:widowControl/>
              <w:spacing w:before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Circular Economy</w:t>
            </w:r>
          </w:p>
        </w:tc>
        <w:tc>
          <w:tcPr>
            <w:tcW w:w="3393" w:type="pct"/>
          </w:tcPr>
          <w:p w14:paraId="23447738" w14:textId="4F4550C5" w:rsidR="00064352" w:rsidRPr="00E4006F" w:rsidRDefault="00AC1B5F" w:rsidP="00064352">
            <w:pPr>
              <w:pStyle w:val="NormalWeb"/>
              <w:spacing w:before="0" w:beforeAutospacing="0" w:after="120" w:afterAutospacing="0"/>
              <w:rPr>
                <w:rFonts w:ascii="Gilroy-Bold" w:hAnsi="Gilroy-Bold"/>
                <w:color w:val="5F6368"/>
              </w:rPr>
            </w:pPr>
            <w:r w:rsidRPr="00AC1B5F">
              <w:rPr>
                <w:rFonts w:ascii="Gilroy-Bold" w:hAnsi="Gilroy-Bold"/>
                <w:color w:val="5F6368"/>
              </w:rPr>
              <w:t>In a circular economy materials do not become waste and are reused through processes such as repairs, refurbishment and recycling</w:t>
            </w:r>
            <w:r>
              <w:t xml:space="preserve"> </w:t>
            </w:r>
            <w:hyperlink r:id="rId14" w:tgtFrame="_blank" w:history="1">
              <w:r w:rsidRPr="005D07E8">
                <w:rPr>
                  <w:rStyle w:val="Hyperlink"/>
                  <w:rFonts w:ascii="Gilroy-Bold" w:hAnsi="Gilroy-Bold"/>
                </w:rPr>
                <w:t>Circular Economy Introduction</w:t>
              </w:r>
            </w:hyperlink>
            <w:r>
              <w:t>.  </w:t>
            </w:r>
            <w:r w:rsidRPr="00AC1B5F">
              <w:rPr>
                <w:rFonts w:ascii="Gilroy-Bold" w:hAnsi="Gilroy-Bold"/>
                <w:color w:val="5F6368"/>
              </w:rPr>
              <w:t>Examining where waste is generated in your organisation can lead to opportunities to repurpose materials.</w:t>
            </w:r>
          </w:p>
        </w:tc>
      </w:tr>
      <w:tr w:rsidR="008E4529" w14:paraId="5F18D58E" w14:textId="77777777" w:rsidTr="00F36B72">
        <w:trPr>
          <w:trHeight w:val="50"/>
        </w:trPr>
        <w:tc>
          <w:tcPr>
            <w:tcW w:w="1607" w:type="pct"/>
          </w:tcPr>
          <w:p w14:paraId="1DF23961" w14:textId="022E127D" w:rsidR="008E4529" w:rsidRPr="00E4006F" w:rsidRDefault="00BA45FA" w:rsidP="00F36B72">
            <w:pPr>
              <w:widowControl/>
              <w:spacing w:before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Supporting Your Community</w:t>
            </w:r>
          </w:p>
        </w:tc>
        <w:tc>
          <w:tcPr>
            <w:tcW w:w="3393" w:type="pct"/>
          </w:tcPr>
          <w:p w14:paraId="708FFE39" w14:textId="1C5406AB" w:rsidR="008E4529" w:rsidRPr="00E4006F" w:rsidRDefault="002A1EDB" w:rsidP="00064352">
            <w:pPr>
              <w:pStyle w:val="NormalWeb"/>
              <w:spacing w:before="0" w:beforeAutospacing="0" w:after="120" w:afterAutospacing="0"/>
              <w:rPr>
                <w:rFonts w:ascii="Gilroy-Bold" w:hAnsi="Gilroy-Bold"/>
                <w:color w:val="5F6368"/>
              </w:rPr>
            </w:pPr>
            <w:r w:rsidRPr="002A1EDB">
              <w:rPr>
                <w:rFonts w:ascii="Gilroy-Bold" w:hAnsi="Gilroy-Bold"/>
                <w:color w:val="5F6368"/>
              </w:rPr>
              <w:t>Greater Manchester and other local administrations have support for businesses who want to work with their local community.  This could include small actions such as holding a staff volunteering day, or longer term projects such as donating materials to local charities or offering local people employment/work experience opportunities</w:t>
            </w:r>
            <w:r w:rsidR="00D404F5">
              <w:rPr>
                <w:rFonts w:ascii="Gilroy-Bold" w:hAnsi="Gilroy-Bold"/>
                <w:color w:val="5F6368"/>
              </w:rPr>
              <w:t>.</w:t>
            </w:r>
          </w:p>
        </w:tc>
      </w:tr>
    </w:tbl>
    <w:p w14:paraId="56C5845F" w14:textId="77777777" w:rsidR="008E4529" w:rsidRDefault="008E4529" w:rsidP="008E4529">
      <w:pPr>
        <w:pStyle w:val="Heading2"/>
        <w:spacing w:before="0"/>
        <w:rPr>
          <w:rFonts w:asciiTheme="majorHAnsi" w:hAnsiTheme="majorHAnsi"/>
          <w:b/>
          <w:bCs/>
          <w:color w:val="505759" w:themeColor="background2"/>
          <w:sz w:val="30"/>
          <w:szCs w:val="30"/>
        </w:rPr>
      </w:pPr>
    </w:p>
    <w:p w14:paraId="0655DA3F" w14:textId="77777777" w:rsidR="00F25726" w:rsidRDefault="00F25726">
      <w:pPr>
        <w:rPr>
          <w:rFonts w:asciiTheme="majorHAnsi" w:eastAsia="Oswald" w:hAnsiTheme="majorHAnsi" w:cs="Oswald"/>
          <w:b/>
          <w:bCs/>
          <w:color w:val="505759" w:themeColor="background2"/>
          <w:sz w:val="30"/>
          <w:szCs w:val="30"/>
        </w:rPr>
      </w:pPr>
      <w:r>
        <w:rPr>
          <w:rFonts w:asciiTheme="majorHAnsi" w:hAnsiTheme="majorHAnsi"/>
          <w:b/>
          <w:bCs/>
          <w:color w:val="505759" w:themeColor="background2"/>
          <w:sz w:val="30"/>
          <w:szCs w:val="30"/>
        </w:rPr>
        <w:br w:type="page"/>
      </w:r>
    </w:p>
    <w:p w14:paraId="385BC7AB" w14:textId="77777777" w:rsidR="008F6C3C" w:rsidRDefault="008F6C3C" w:rsidP="002D0FD8">
      <w:pPr>
        <w:pStyle w:val="Heading2"/>
        <w:rPr>
          <w:rFonts w:asciiTheme="majorHAnsi" w:hAnsiTheme="majorHAnsi"/>
          <w:b/>
          <w:bCs/>
          <w:color w:val="505759" w:themeColor="background2"/>
          <w:sz w:val="30"/>
          <w:szCs w:val="30"/>
        </w:rPr>
        <w:sectPr w:rsidR="008F6C3C" w:rsidSect="00C82E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440" w:bottom="1440" w:left="1440" w:header="0" w:footer="720" w:gutter="0"/>
          <w:pgNumType w:start="1"/>
          <w:cols w:space="720"/>
          <w:docGrid w:linePitch="299"/>
        </w:sectPr>
      </w:pPr>
    </w:p>
    <w:p w14:paraId="1B3FCAF0" w14:textId="09B1D570" w:rsidR="002D0FD8" w:rsidRPr="003131AC" w:rsidRDefault="002D0FD8" w:rsidP="002D0FD8">
      <w:pPr>
        <w:pStyle w:val="Heading2"/>
        <w:rPr>
          <w:rFonts w:asciiTheme="majorHAnsi" w:eastAsia="Arial" w:hAnsiTheme="majorHAnsi" w:cs="Arial"/>
          <w:b/>
          <w:bCs/>
          <w:color w:val="FE6C04" w:themeColor="text1"/>
          <w:sz w:val="30"/>
          <w:szCs w:val="30"/>
        </w:rPr>
      </w:pPr>
      <w:r w:rsidRPr="00FA6AB5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lastRenderedPageBreak/>
        <w:t>INSTRUCTIONS</w:t>
      </w:r>
      <w:r w:rsidRPr="003131AC">
        <w:rPr>
          <w:rFonts w:asciiTheme="majorHAnsi" w:hAnsiTheme="majorHAnsi"/>
          <w:b/>
          <w:bCs/>
          <w:color w:val="FE6C04" w:themeColor="text1"/>
          <w:sz w:val="30"/>
          <w:szCs w:val="30"/>
        </w:rPr>
        <w:t xml:space="preserve"> </w:t>
      </w:r>
    </w:p>
    <w:p w14:paraId="77A69A73" w14:textId="280FBA69" w:rsidR="005A1F8A" w:rsidRPr="003A7D5F" w:rsidRDefault="005A1F8A" w:rsidP="005A1F8A">
      <w:pPr>
        <w:pBdr>
          <w:top w:val="nil"/>
          <w:left w:val="nil"/>
          <w:bottom w:val="nil"/>
          <w:right w:val="nil"/>
          <w:between w:val="nil"/>
        </w:pBdr>
        <w:rPr>
          <w:rFonts w:ascii="Gilroy-Regular" w:hAnsi="Gilroy-Regular"/>
          <w:color w:val="5F6368"/>
          <w:sz w:val="24"/>
          <w:szCs w:val="24"/>
        </w:rPr>
      </w:pPr>
      <w:r w:rsidRPr="003A7D5F">
        <w:rPr>
          <w:rFonts w:ascii="Gilroy-Regular" w:hAnsi="Gilroy-Regular"/>
          <w:color w:val="5F6368"/>
          <w:sz w:val="24"/>
          <w:szCs w:val="24"/>
        </w:rPr>
        <w:t>Use this document</w:t>
      </w:r>
      <w:r w:rsidRPr="003A7D5F">
        <w:rPr>
          <w:rFonts w:ascii="Gilroy-Regular" w:hAnsi="Gilroy-Regular"/>
          <w:b/>
          <w:bCs/>
          <w:color w:val="5F6368"/>
          <w:sz w:val="24"/>
          <w:szCs w:val="24"/>
        </w:rPr>
        <w:t xml:space="preserve"> </w:t>
      </w:r>
      <w:r w:rsidRPr="003A7D5F">
        <w:rPr>
          <w:rFonts w:ascii="Gilroy-Regular" w:hAnsi="Gilroy-Regular"/>
          <w:color w:val="5F6368"/>
          <w:sz w:val="24"/>
          <w:szCs w:val="24"/>
        </w:rPr>
        <w:t>to build a</w:t>
      </w:r>
      <w:r>
        <w:rPr>
          <w:rFonts w:ascii="Gilroy-Regular" w:hAnsi="Gilroy-Regular"/>
          <w:color w:val="5F6368"/>
          <w:sz w:val="24"/>
          <w:szCs w:val="24"/>
        </w:rPr>
        <w:t>n</w:t>
      </w:r>
      <w:r w:rsidRPr="003A7D5F">
        <w:rPr>
          <w:rFonts w:ascii="Gilroy-Regular" w:hAnsi="Gilroy-Regular"/>
          <w:color w:val="5F6368"/>
          <w:sz w:val="24"/>
          <w:szCs w:val="24"/>
        </w:rPr>
        <w:t xml:space="preserve"> </w:t>
      </w:r>
      <w:r>
        <w:rPr>
          <w:rFonts w:ascii="Gilroy-Bold" w:hAnsi="Gilroy-Bold"/>
          <w:b/>
          <w:bCs/>
          <w:color w:val="5F6368"/>
          <w:sz w:val="24"/>
          <w:szCs w:val="24"/>
        </w:rPr>
        <w:t xml:space="preserve">Embedding </w:t>
      </w:r>
      <w:r w:rsidRPr="003A7D5F">
        <w:rPr>
          <w:rFonts w:ascii="Gilroy-Bold" w:hAnsi="Gilroy-Bold"/>
          <w:b/>
          <w:bCs/>
          <w:color w:val="5F6368"/>
          <w:sz w:val="24"/>
          <w:szCs w:val="24"/>
        </w:rPr>
        <w:t>Action Plan</w:t>
      </w:r>
      <w:r w:rsidR="00327C38">
        <w:rPr>
          <w:rFonts w:ascii="Gilroy-Bold" w:hAnsi="Gilroy-Bold"/>
          <w:b/>
          <w:bCs/>
          <w:color w:val="5F6368"/>
          <w:sz w:val="24"/>
          <w:szCs w:val="24"/>
        </w:rPr>
        <w:t xml:space="preserve"> </w:t>
      </w:r>
      <w:r w:rsidR="00327C38" w:rsidRPr="00327C38">
        <w:rPr>
          <w:rFonts w:ascii="Gilroy-Bold" w:hAnsi="Gilroy-Bold"/>
          <w:color w:val="5F6368"/>
          <w:sz w:val="24"/>
          <w:szCs w:val="24"/>
        </w:rPr>
        <w:t xml:space="preserve">for </w:t>
      </w:r>
      <w:r w:rsidR="00004167">
        <w:rPr>
          <w:rFonts w:ascii="Gilroy-Bold" w:hAnsi="Gilroy-Bold"/>
          <w:b/>
          <w:bCs/>
          <w:color w:val="5F6368"/>
          <w:sz w:val="24"/>
          <w:szCs w:val="24"/>
        </w:rPr>
        <w:t>Sustainability</w:t>
      </w:r>
      <w:r w:rsidR="001F6F35">
        <w:rPr>
          <w:rFonts w:ascii="Gilroy-Regular" w:hAnsi="Gilroy-Regular"/>
          <w:color w:val="5F6368"/>
          <w:sz w:val="24"/>
          <w:szCs w:val="24"/>
        </w:rPr>
        <w:t>.</w:t>
      </w:r>
    </w:p>
    <w:p w14:paraId="5D3242AF" w14:textId="61FFCB73" w:rsidR="003131AC" w:rsidRDefault="00DB65AF" w:rsidP="00E400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37"/>
        <w:rPr>
          <w:color w:val="5F6368"/>
          <w:sz w:val="24"/>
          <w:szCs w:val="24"/>
        </w:rPr>
      </w:pPr>
      <w:r w:rsidRPr="00F93555">
        <w:rPr>
          <w:rFonts w:ascii="Gilroy-Regular" w:hAnsi="Gilroy-Regular"/>
          <w:color w:val="5F6368"/>
          <w:sz w:val="24"/>
          <w:szCs w:val="24"/>
        </w:rPr>
        <w:t>Additionally, you can use t</w:t>
      </w:r>
      <w:r w:rsidR="00D926B7" w:rsidRPr="00F93555">
        <w:rPr>
          <w:rFonts w:ascii="Gilroy-Regular" w:hAnsi="Gilroy-Regular"/>
          <w:color w:val="5F6368"/>
          <w:sz w:val="24"/>
          <w:szCs w:val="24"/>
        </w:rPr>
        <w:t xml:space="preserve">his as a template </w:t>
      </w:r>
      <w:r w:rsidRPr="00F93555">
        <w:rPr>
          <w:rFonts w:ascii="Gilroy-Regular" w:hAnsi="Gilroy-Regular"/>
          <w:color w:val="5F6368"/>
          <w:sz w:val="24"/>
          <w:szCs w:val="24"/>
        </w:rPr>
        <w:t>to take</w:t>
      </w:r>
      <w:r w:rsidR="000A6461">
        <w:rPr>
          <w:rFonts w:ascii="Gilroy-Regular" w:hAnsi="Gilroy-Regular"/>
          <w:color w:val="5F6368"/>
          <w:sz w:val="24"/>
          <w:szCs w:val="24"/>
        </w:rPr>
        <w:t xml:space="preserve"> </w:t>
      </w:r>
      <w:r w:rsidRPr="00F93555">
        <w:rPr>
          <w:rFonts w:ascii="Gilroy-Regular" w:hAnsi="Gilroy-Regular"/>
          <w:color w:val="5F6368"/>
          <w:sz w:val="24"/>
          <w:szCs w:val="24"/>
        </w:rPr>
        <w:t xml:space="preserve">notes on what you’ve learned or record your thoughts about </w:t>
      </w:r>
      <w:r w:rsidR="001F6F35">
        <w:rPr>
          <w:rFonts w:ascii="Gilroy-Regular" w:hAnsi="Gilroy-Regular"/>
          <w:color w:val="5F6368"/>
          <w:sz w:val="24"/>
          <w:szCs w:val="24"/>
        </w:rPr>
        <w:t>how the</w:t>
      </w:r>
      <w:r w:rsidR="004546A8" w:rsidRPr="00F93555">
        <w:rPr>
          <w:rFonts w:ascii="Gilroy-Regular" w:hAnsi="Gilroy-Regular"/>
          <w:color w:val="5F6368"/>
          <w:sz w:val="24"/>
          <w:szCs w:val="24"/>
        </w:rPr>
        <w:t xml:space="preserve"> topic</w:t>
      </w:r>
      <w:r w:rsidRPr="00F93555">
        <w:rPr>
          <w:rFonts w:ascii="Gilroy-Regular" w:hAnsi="Gilroy-Regular"/>
          <w:color w:val="5F6368"/>
          <w:sz w:val="24"/>
          <w:szCs w:val="24"/>
        </w:rPr>
        <w:t xml:space="preserve"> i</w:t>
      </w:r>
      <w:r w:rsidR="001F6F35">
        <w:rPr>
          <w:rFonts w:ascii="Gilroy-Regular" w:hAnsi="Gilroy-Regular"/>
          <w:color w:val="5F6368"/>
          <w:sz w:val="24"/>
          <w:szCs w:val="24"/>
        </w:rPr>
        <w:t>mpacts</w:t>
      </w:r>
      <w:r w:rsidRPr="00F93555">
        <w:rPr>
          <w:rFonts w:ascii="Gilroy-Regular" w:hAnsi="Gilroy-Regular"/>
          <w:color w:val="5F6368"/>
          <w:sz w:val="24"/>
          <w:szCs w:val="24"/>
        </w:rPr>
        <w:t xml:space="preserve"> your business.</w:t>
      </w:r>
      <w:r w:rsidR="00F93555">
        <w:rPr>
          <w:rFonts w:ascii="Gilroy-Regular" w:hAnsi="Gilroy-Regular"/>
          <w:color w:val="5F6368"/>
          <w:sz w:val="24"/>
          <w:szCs w:val="24"/>
        </w:rPr>
        <w:br/>
      </w:r>
    </w:p>
    <w:tbl>
      <w:tblPr>
        <w:tblStyle w:val="a1"/>
        <w:tblW w:w="13740" w:type="dxa"/>
        <w:tblBorders>
          <w:top w:val="single" w:sz="8" w:space="0" w:color="FE6C04" w:themeColor="text1"/>
          <w:left w:val="single" w:sz="8" w:space="0" w:color="FE6C04" w:themeColor="text1"/>
          <w:bottom w:val="single" w:sz="8" w:space="0" w:color="FE6C04" w:themeColor="text1"/>
          <w:right w:val="single" w:sz="8" w:space="0" w:color="FE6C04" w:themeColor="text1"/>
          <w:insideH w:val="single" w:sz="8" w:space="0" w:color="FE6C04" w:themeColor="text1"/>
          <w:insideV w:val="single" w:sz="8" w:space="0" w:color="FE6C04" w:themeColor="text1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0910"/>
      </w:tblGrid>
      <w:tr w:rsidR="00C75860" w14:paraId="1BDB9F18" w14:textId="77777777" w:rsidTr="004D1BCA">
        <w:trPr>
          <w:trHeight w:val="645"/>
        </w:trPr>
        <w:tc>
          <w:tcPr>
            <w:tcW w:w="2830" w:type="dxa"/>
            <w:shd w:val="clear" w:color="auto" w:fill="FEE1CC" w:themeFill="text1" w:themeFillTint="33"/>
          </w:tcPr>
          <w:p w14:paraId="6375F21B" w14:textId="689A6A0F" w:rsidR="00C75860" w:rsidRPr="00204DE2" w:rsidRDefault="005A1F8A" w:rsidP="00166004">
            <w:pPr>
              <w:widowControl/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</w:pPr>
            <w:r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Date</w:t>
            </w:r>
            <w:r w:rsidR="00C75860" w:rsidRPr="00204DE2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:</w:t>
            </w:r>
            <w:r w:rsidR="00AF47B7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 xml:space="preserve"> _____________</w:t>
            </w:r>
          </w:p>
        </w:tc>
        <w:tc>
          <w:tcPr>
            <w:tcW w:w="10910" w:type="dxa"/>
            <w:shd w:val="clear" w:color="auto" w:fill="FEE1CC" w:themeFill="text1" w:themeFillTint="33"/>
          </w:tcPr>
          <w:p w14:paraId="49A6B787" w14:textId="725F309A" w:rsidR="00C75860" w:rsidRPr="00204DE2" w:rsidRDefault="005A1F8A" w:rsidP="00C75860">
            <w:pPr>
              <w:widowControl/>
              <w:rPr>
                <w:rFonts w:asciiTheme="majorHAnsi" w:eastAsia="Oswald" w:hAnsiTheme="majorHAnsi" w:cs="Oswald"/>
                <w:color w:val="FE6C04" w:themeColor="text1"/>
                <w:sz w:val="24"/>
                <w:szCs w:val="24"/>
              </w:rPr>
            </w:pPr>
            <w:r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Topic</w:t>
            </w:r>
            <w:r w:rsidR="00C75860" w:rsidRPr="00204DE2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:</w:t>
            </w:r>
            <w:r w:rsidR="00C75860" w:rsidRPr="00204DE2">
              <w:rPr>
                <w:rFonts w:asciiTheme="majorHAnsi" w:eastAsia="Oswald" w:hAnsiTheme="majorHAnsi" w:cs="Oswald"/>
                <w:color w:val="FE6C04" w:themeColor="text1"/>
                <w:sz w:val="24"/>
                <w:szCs w:val="24"/>
              </w:rPr>
              <w:t xml:space="preserve"> </w:t>
            </w:r>
          </w:p>
        </w:tc>
      </w:tr>
      <w:tr w:rsidR="00324D3A" w14:paraId="7F42EA88" w14:textId="77777777" w:rsidTr="004D1BCA">
        <w:trPr>
          <w:trHeight w:val="50"/>
        </w:trPr>
        <w:tc>
          <w:tcPr>
            <w:tcW w:w="2830" w:type="dxa"/>
            <w:shd w:val="clear" w:color="auto" w:fill="auto"/>
          </w:tcPr>
          <w:p w14:paraId="03E65721" w14:textId="350A2FE8" w:rsidR="00324D3A" w:rsidRPr="00FA40FF" w:rsidRDefault="00324D3A" w:rsidP="00F93555">
            <w:pPr>
              <w:widowControl/>
              <w:spacing w:before="0"/>
              <w:rPr>
                <w:rFonts w:ascii="Gilroy-Bold" w:hAnsi="Gilroy-Bold"/>
                <w:bCs/>
                <w:color w:val="505759" w:themeColor="background2"/>
                <w:sz w:val="24"/>
                <w:szCs w:val="24"/>
              </w:rPr>
            </w:pPr>
            <w:r w:rsidRPr="00FA40FF"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  <w:t>How often will you review this topic / your approach?</w:t>
            </w:r>
          </w:p>
        </w:tc>
        <w:tc>
          <w:tcPr>
            <w:tcW w:w="10910" w:type="dxa"/>
          </w:tcPr>
          <w:p w14:paraId="69C32A84" w14:textId="77777777" w:rsidR="00324D3A" w:rsidRPr="005A1F8A" w:rsidRDefault="00324D3A" w:rsidP="00F93555">
            <w:pPr>
              <w:spacing w:line="312" w:lineRule="auto"/>
              <w:rPr>
                <w:rFonts w:ascii="Gilroy-Regular" w:hAnsi="Gilroy-Regular"/>
                <w:color w:val="5F6368"/>
                <w:sz w:val="20"/>
                <w:szCs w:val="20"/>
              </w:rPr>
            </w:pPr>
          </w:p>
        </w:tc>
      </w:tr>
      <w:tr w:rsidR="00324D3A" w14:paraId="05A12CD5" w14:textId="77777777" w:rsidTr="004D1BCA">
        <w:trPr>
          <w:trHeight w:val="50"/>
        </w:trPr>
        <w:tc>
          <w:tcPr>
            <w:tcW w:w="2830" w:type="dxa"/>
            <w:shd w:val="clear" w:color="auto" w:fill="auto"/>
          </w:tcPr>
          <w:p w14:paraId="7E01987E" w14:textId="54A5F031" w:rsidR="00324D3A" w:rsidRPr="00FA40FF" w:rsidRDefault="00324D3A" w:rsidP="00F93555">
            <w:pPr>
              <w:widowControl/>
              <w:spacing w:before="0"/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</w:pPr>
            <w:r w:rsidRPr="00FA40FF"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  <w:t>Where will you get new information from?</w:t>
            </w:r>
          </w:p>
        </w:tc>
        <w:tc>
          <w:tcPr>
            <w:tcW w:w="10910" w:type="dxa"/>
          </w:tcPr>
          <w:p w14:paraId="3DB5E1B8" w14:textId="77777777" w:rsidR="00324D3A" w:rsidRPr="005A1F8A" w:rsidRDefault="00324D3A" w:rsidP="00F93555">
            <w:pPr>
              <w:spacing w:line="312" w:lineRule="auto"/>
              <w:rPr>
                <w:rFonts w:ascii="Gilroy-Regular" w:hAnsi="Gilroy-Regular"/>
                <w:color w:val="5F6368"/>
                <w:sz w:val="20"/>
                <w:szCs w:val="20"/>
              </w:rPr>
            </w:pPr>
          </w:p>
        </w:tc>
      </w:tr>
      <w:tr w:rsidR="00324D3A" w14:paraId="56350274" w14:textId="77777777" w:rsidTr="004D1BCA">
        <w:trPr>
          <w:trHeight w:val="50"/>
        </w:trPr>
        <w:tc>
          <w:tcPr>
            <w:tcW w:w="2830" w:type="dxa"/>
            <w:shd w:val="clear" w:color="auto" w:fill="auto"/>
          </w:tcPr>
          <w:p w14:paraId="70AD66E5" w14:textId="40B82F51" w:rsidR="00324D3A" w:rsidRPr="00FA40FF" w:rsidRDefault="003131AC" w:rsidP="00F93555">
            <w:pPr>
              <w:widowControl/>
              <w:spacing w:before="0"/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</w:pPr>
            <w:r w:rsidRPr="00FA40FF"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  <w:t>What other support do you need to access?</w:t>
            </w:r>
          </w:p>
        </w:tc>
        <w:tc>
          <w:tcPr>
            <w:tcW w:w="10910" w:type="dxa"/>
          </w:tcPr>
          <w:p w14:paraId="0E225574" w14:textId="77777777" w:rsidR="00324D3A" w:rsidRPr="005A1F8A" w:rsidRDefault="00324D3A" w:rsidP="00F93555">
            <w:pPr>
              <w:spacing w:line="312" w:lineRule="auto"/>
              <w:rPr>
                <w:rFonts w:ascii="Gilroy-Regular" w:hAnsi="Gilroy-Regular"/>
                <w:color w:val="5F6368"/>
                <w:sz w:val="20"/>
                <w:szCs w:val="20"/>
              </w:rPr>
            </w:pPr>
          </w:p>
        </w:tc>
      </w:tr>
      <w:tr w:rsidR="00437615" w14:paraId="5A217B50" w14:textId="77777777" w:rsidTr="004D1BCA">
        <w:trPr>
          <w:trHeight w:val="50"/>
        </w:trPr>
        <w:tc>
          <w:tcPr>
            <w:tcW w:w="2830" w:type="dxa"/>
            <w:shd w:val="clear" w:color="auto" w:fill="auto"/>
          </w:tcPr>
          <w:p w14:paraId="55998B63" w14:textId="3229DEE5" w:rsidR="00437615" w:rsidRPr="00FA40FF" w:rsidRDefault="00437615" w:rsidP="00F93555">
            <w:pPr>
              <w:widowControl/>
              <w:spacing w:before="0"/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</w:pPr>
            <w:r w:rsidRPr="00FA40FF"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  <w:t>Other notes and ideas:</w:t>
            </w:r>
          </w:p>
        </w:tc>
        <w:tc>
          <w:tcPr>
            <w:tcW w:w="10910" w:type="dxa"/>
          </w:tcPr>
          <w:p w14:paraId="7E8547D4" w14:textId="77777777" w:rsidR="00FB3082" w:rsidRPr="005A1F8A" w:rsidRDefault="00FB3082" w:rsidP="00F93555">
            <w:pPr>
              <w:spacing w:line="312" w:lineRule="auto"/>
              <w:rPr>
                <w:rFonts w:ascii="Gilroy-Regular" w:hAnsi="Gilroy-Regular"/>
                <w:color w:val="5F6368"/>
                <w:sz w:val="20"/>
                <w:szCs w:val="20"/>
              </w:rPr>
            </w:pPr>
          </w:p>
        </w:tc>
      </w:tr>
    </w:tbl>
    <w:p w14:paraId="2392FF6A" w14:textId="77777777" w:rsidR="00F93555" w:rsidRDefault="00F93555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</w:rPr>
        <w:sectPr w:rsidR="00F93555" w:rsidSect="00EA2366">
          <w:headerReference w:type="default" r:id="rId21"/>
          <w:pgSz w:w="16838" w:h="11906" w:orient="landscape"/>
          <w:pgMar w:top="1440" w:right="1440" w:bottom="1440" w:left="1440" w:header="0" w:footer="720" w:gutter="0"/>
          <w:pgNumType w:start="2"/>
          <w:cols w:space="720"/>
          <w:docGrid w:linePitch="299"/>
        </w:sectPr>
      </w:pPr>
    </w:p>
    <w:p w14:paraId="1B59EA15" w14:textId="77777777" w:rsidR="00166004" w:rsidRPr="007525A0" w:rsidRDefault="00166004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</w:rPr>
      </w:pPr>
    </w:p>
    <w:tbl>
      <w:tblPr>
        <w:tblStyle w:val="a"/>
        <w:tblW w:w="13887" w:type="dxa"/>
        <w:tblBorders>
          <w:top w:val="single" w:sz="8" w:space="0" w:color="032F6C" w:themeColor="text2"/>
          <w:left w:val="single" w:sz="8" w:space="0" w:color="032F6C" w:themeColor="text2"/>
          <w:bottom w:val="single" w:sz="8" w:space="0" w:color="032F6C" w:themeColor="text2"/>
          <w:right w:val="single" w:sz="8" w:space="0" w:color="032F6C" w:themeColor="text2"/>
          <w:insideH w:val="single" w:sz="8" w:space="0" w:color="032F6C" w:themeColor="text2"/>
          <w:insideV w:val="single" w:sz="8" w:space="0" w:color="032F6C" w:themeColor="text2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672"/>
        <w:gridCol w:w="2990"/>
        <w:gridCol w:w="2835"/>
        <w:gridCol w:w="2977"/>
      </w:tblGrid>
      <w:tr w:rsidR="006966D1" w14:paraId="76B27AB4" w14:textId="506D55E1" w:rsidTr="000D20D1">
        <w:trPr>
          <w:trHeight w:val="1003"/>
        </w:trPr>
        <w:tc>
          <w:tcPr>
            <w:tcW w:w="1413" w:type="dxa"/>
            <w:shd w:val="clear" w:color="auto" w:fill="B1D0FC" w:themeFill="text2" w:themeFillTint="33"/>
          </w:tcPr>
          <w:p w14:paraId="5D014C8A" w14:textId="1ED0E306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Action Reference</w:t>
            </w:r>
          </w:p>
        </w:tc>
        <w:tc>
          <w:tcPr>
            <w:tcW w:w="3672" w:type="dxa"/>
            <w:shd w:val="clear" w:color="auto" w:fill="B1D0FC" w:themeFill="text2" w:themeFillTint="33"/>
          </w:tcPr>
          <w:p w14:paraId="15E2252C" w14:textId="6DF13CAB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Action</w:t>
            </w:r>
          </w:p>
        </w:tc>
        <w:tc>
          <w:tcPr>
            <w:tcW w:w="2990" w:type="dxa"/>
            <w:shd w:val="clear" w:color="auto" w:fill="B1D0FC" w:themeFill="text2" w:themeFillTint="33"/>
          </w:tcPr>
          <w:p w14:paraId="1FB8D710" w14:textId="35363398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Who is responsible for implementing the action?</w:t>
            </w:r>
          </w:p>
        </w:tc>
        <w:tc>
          <w:tcPr>
            <w:tcW w:w="2835" w:type="dxa"/>
            <w:shd w:val="clear" w:color="auto" w:fill="B1D0FC" w:themeFill="text2" w:themeFillTint="33"/>
          </w:tcPr>
          <w:p w14:paraId="111F3EA2" w14:textId="5307141B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 xml:space="preserve">What is the planned deadline for the action? </w:t>
            </w:r>
          </w:p>
        </w:tc>
        <w:tc>
          <w:tcPr>
            <w:tcW w:w="2977" w:type="dxa"/>
            <w:shd w:val="clear" w:color="auto" w:fill="B1D0FC" w:themeFill="text2" w:themeFillTint="33"/>
          </w:tcPr>
          <w:p w14:paraId="0D848649" w14:textId="5582BC50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How will you measure the success of this action?</w:t>
            </w:r>
          </w:p>
        </w:tc>
      </w:tr>
      <w:tr w:rsidR="006966D1" w14:paraId="5FBFA2F5" w14:textId="56A97DD1" w:rsidTr="000D20D1">
        <w:trPr>
          <w:trHeight w:val="1697"/>
        </w:trPr>
        <w:tc>
          <w:tcPr>
            <w:tcW w:w="1413" w:type="dxa"/>
          </w:tcPr>
          <w:p w14:paraId="64C44D1A" w14:textId="48D240CC" w:rsidR="006966D1" w:rsidRPr="005A1F8A" w:rsidRDefault="006966D1" w:rsidP="005A1F8A">
            <w:pPr>
              <w:widowControl/>
              <w:spacing w:before="0" w:line="259" w:lineRule="auto"/>
              <w:rPr>
                <w:rFonts w:ascii="Gilroy-Regular" w:hAnsi="Gilroy-Regular"/>
                <w:b/>
                <w:bCs/>
                <w:color w:val="505759" w:themeColor="background2"/>
                <w:sz w:val="20"/>
                <w:szCs w:val="20"/>
              </w:rPr>
            </w:pPr>
          </w:p>
        </w:tc>
        <w:tc>
          <w:tcPr>
            <w:tcW w:w="3672" w:type="dxa"/>
          </w:tcPr>
          <w:p w14:paraId="6B58307D" w14:textId="6F162385" w:rsidR="0082457A" w:rsidRPr="005A1F8A" w:rsidRDefault="0082457A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14FD39F9" w14:textId="118D855A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A5C692" w14:textId="6C3E1FDA" w:rsidR="006966D1" w:rsidRPr="005A1F8A" w:rsidRDefault="006966D1" w:rsidP="005A1F8A">
            <w:pPr>
              <w:widowControl/>
              <w:spacing w:before="0"/>
              <w:jc w:val="center"/>
              <w:rPr>
                <w:rFonts w:ascii="Gilroy-Regular" w:hAnsi="Gilroy-Regular"/>
                <w:color w:val="B7B7B7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F4CA792" w14:textId="77777777" w:rsidR="006966D1" w:rsidRPr="005A1F8A" w:rsidRDefault="006966D1" w:rsidP="005A1F8A">
            <w:pPr>
              <w:widowControl/>
              <w:spacing w:before="0"/>
              <w:jc w:val="center"/>
              <w:rPr>
                <w:rFonts w:ascii="Gilroy-Regular" w:hAnsi="Gilroy-Regular"/>
                <w:color w:val="B7B7B7"/>
                <w:sz w:val="20"/>
                <w:szCs w:val="20"/>
              </w:rPr>
            </w:pPr>
          </w:p>
        </w:tc>
      </w:tr>
      <w:tr w:rsidR="006966D1" w14:paraId="6C01456A" w14:textId="7043E652" w:rsidTr="000D20D1">
        <w:trPr>
          <w:trHeight w:val="1777"/>
        </w:trPr>
        <w:tc>
          <w:tcPr>
            <w:tcW w:w="1413" w:type="dxa"/>
          </w:tcPr>
          <w:p w14:paraId="6022952C" w14:textId="450CBB9C" w:rsidR="006966D1" w:rsidRPr="005A1F8A" w:rsidRDefault="006966D1" w:rsidP="005A1F8A">
            <w:pPr>
              <w:widowControl/>
              <w:spacing w:before="0" w:line="259" w:lineRule="auto"/>
              <w:rPr>
                <w:rFonts w:ascii="Gilroy-Regular" w:hAnsi="Gilroy-Regular"/>
                <w:b/>
                <w:bCs/>
                <w:color w:val="505759" w:themeColor="background2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1BD3F3E" w14:textId="77F1E966" w:rsidR="0082457A" w:rsidRPr="005A1F8A" w:rsidRDefault="0082457A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297030F1" w14:textId="232D3282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126032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E7C854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</w:tr>
      <w:tr w:rsidR="006966D1" w14:paraId="4B98D063" w14:textId="680F1CD5" w:rsidTr="000D20D1">
        <w:trPr>
          <w:trHeight w:val="1675"/>
        </w:trPr>
        <w:tc>
          <w:tcPr>
            <w:tcW w:w="1413" w:type="dxa"/>
          </w:tcPr>
          <w:p w14:paraId="721D4D29" w14:textId="14861FEC" w:rsidR="006966D1" w:rsidRPr="005A1F8A" w:rsidRDefault="006966D1" w:rsidP="005A1F8A">
            <w:pPr>
              <w:widowControl/>
              <w:spacing w:before="0" w:line="259" w:lineRule="auto"/>
              <w:rPr>
                <w:rFonts w:ascii="Gilroy-Regular" w:hAnsi="Gilroy-Regular"/>
                <w:b/>
                <w:bCs/>
                <w:color w:val="505759" w:themeColor="background2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4386F74" w14:textId="008A0371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04340060" w14:textId="5C89B8E5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96DC94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D20D3E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</w:tr>
      <w:tr w:rsidR="006966D1" w14:paraId="2BEA5E72" w14:textId="5F5FDD87" w:rsidTr="000D20D1">
        <w:trPr>
          <w:trHeight w:val="1790"/>
        </w:trPr>
        <w:tc>
          <w:tcPr>
            <w:tcW w:w="1413" w:type="dxa"/>
          </w:tcPr>
          <w:p w14:paraId="6F23D7F5" w14:textId="788368D0" w:rsidR="006966D1" w:rsidRPr="005A1F8A" w:rsidRDefault="006966D1" w:rsidP="005A1F8A">
            <w:pPr>
              <w:widowControl/>
              <w:spacing w:before="0" w:line="259" w:lineRule="auto"/>
              <w:rPr>
                <w:rFonts w:ascii="Gilroy-Regular" w:hAnsi="Gilroy-Regular"/>
                <w:b/>
                <w:bCs/>
                <w:color w:val="505759" w:themeColor="background2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FCB25F6" w14:textId="72FB74E4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4BABCDB8" w14:textId="02517ECB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FFE469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C26991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</w:tr>
    </w:tbl>
    <w:p w14:paraId="24FA9BD2" w14:textId="7F3AACD9" w:rsidR="00E2756B" w:rsidRDefault="00E2756B" w:rsidP="0082457A">
      <w:pPr>
        <w:rPr>
          <w:rFonts w:ascii="Calibri" w:eastAsia="Calibri" w:hAnsi="Calibri" w:cs="Calibri"/>
          <w:color w:val="000000"/>
        </w:rPr>
      </w:pPr>
      <w:bookmarkStart w:id="0" w:name="_e4ss96jagatr" w:colFirst="0" w:colLast="0"/>
      <w:bookmarkStart w:id="1" w:name="_rgdj3cq1u6wg" w:colFirst="0" w:colLast="0"/>
      <w:bookmarkEnd w:id="0"/>
      <w:bookmarkEnd w:id="1"/>
    </w:p>
    <w:sectPr w:rsidR="00E2756B" w:rsidSect="00EA2366">
      <w:pgSz w:w="16838" w:h="11906" w:orient="landscape"/>
      <w:pgMar w:top="1440" w:right="1440" w:bottom="1135" w:left="1440" w:header="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980C" w14:textId="77777777" w:rsidR="008E69F3" w:rsidRDefault="008E69F3">
      <w:pPr>
        <w:spacing w:before="0" w:line="240" w:lineRule="auto"/>
      </w:pPr>
      <w:r>
        <w:separator/>
      </w:r>
    </w:p>
  </w:endnote>
  <w:endnote w:type="continuationSeparator" w:id="0">
    <w:p w14:paraId="3524DF1A" w14:textId="77777777" w:rsidR="008E69F3" w:rsidRDefault="008E69F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Gilroy-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Lato">
    <w:panose1 w:val="020F0502020204030203"/>
    <w:charset w:val="00"/>
    <w:family w:val="swiss"/>
    <w:pitch w:val="variable"/>
    <w:sig w:usb0="A00002AF" w:usb1="5000604B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8CAB" w14:textId="77777777" w:rsidR="004D1C73" w:rsidRDefault="004D1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roy-Regular" w:hAnsi="Gilroy-Regular"/>
        <w:sz w:val="24"/>
        <w:szCs w:val="24"/>
      </w:rPr>
      <w:id w:val="273060161"/>
      <w:docPartObj>
        <w:docPartGallery w:val="Page Numbers (Bottom of Page)"/>
        <w:docPartUnique/>
      </w:docPartObj>
    </w:sdtPr>
    <w:sdtEndPr/>
    <w:sdtContent>
      <w:sdt>
        <w:sdtPr>
          <w:rPr>
            <w:rFonts w:ascii="Gilroy-Regular" w:hAnsi="Gilroy-Regular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604842" w14:textId="0ED7CEBF" w:rsidR="00C82E99" w:rsidRPr="004D2243" w:rsidRDefault="00C82E99">
            <w:pPr>
              <w:pStyle w:val="Footer"/>
              <w:jc w:val="center"/>
              <w:rPr>
                <w:rFonts w:ascii="Gilroy-Regular" w:hAnsi="Gilroy-Regular"/>
                <w:sz w:val="24"/>
                <w:szCs w:val="24"/>
              </w:rPr>
            </w:pPr>
            <w:r w:rsidRPr="004D2243">
              <w:rPr>
                <w:rFonts w:ascii="Gilroy-Regular" w:hAnsi="Gilroy-Regular"/>
                <w:sz w:val="24"/>
                <w:szCs w:val="24"/>
              </w:rPr>
              <w:t xml:space="preserve">Page </w: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begin"/>
            </w:r>
            <w:r w:rsidRPr="004D2243">
              <w:rPr>
                <w:rFonts w:ascii="Gilroy-Regular" w:hAnsi="Gilroy-Regular"/>
                <w:sz w:val="24"/>
                <w:szCs w:val="24"/>
              </w:rPr>
              <w:instrText xml:space="preserve"> PAGE </w:instrTex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separate"/>
            </w:r>
            <w:r w:rsidRPr="004D2243">
              <w:rPr>
                <w:rFonts w:ascii="Gilroy-Regular" w:hAnsi="Gilroy-Regular"/>
                <w:noProof/>
                <w:sz w:val="24"/>
                <w:szCs w:val="24"/>
              </w:rPr>
              <w:t>2</w: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end"/>
            </w:r>
            <w:r w:rsidRPr="004D2243">
              <w:rPr>
                <w:rFonts w:ascii="Gilroy-Regular" w:hAnsi="Gilroy-Regular"/>
                <w:sz w:val="24"/>
                <w:szCs w:val="24"/>
              </w:rPr>
              <w:t xml:space="preserve"> of </w: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begin"/>
            </w:r>
            <w:r w:rsidRPr="004D2243">
              <w:rPr>
                <w:rFonts w:ascii="Gilroy-Regular" w:hAnsi="Gilroy-Regular"/>
                <w:sz w:val="24"/>
                <w:szCs w:val="24"/>
              </w:rPr>
              <w:instrText xml:space="preserve"> NUMPAGES  </w:instrTex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separate"/>
            </w:r>
            <w:r w:rsidRPr="004D2243">
              <w:rPr>
                <w:rFonts w:ascii="Gilroy-Regular" w:hAnsi="Gilroy-Regular"/>
                <w:noProof/>
                <w:sz w:val="24"/>
                <w:szCs w:val="24"/>
              </w:rPr>
              <w:t>2</w: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end"/>
            </w:r>
          </w:p>
        </w:sdtContent>
      </w:sdt>
    </w:sdtContent>
  </w:sdt>
  <w:p w14:paraId="3A4DC4B2" w14:textId="77777777" w:rsidR="00C82E99" w:rsidRDefault="00C82E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9F58" w14:textId="77777777" w:rsidR="004D1C73" w:rsidRDefault="004D1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DB0C" w14:textId="77777777" w:rsidR="008E69F3" w:rsidRDefault="008E69F3">
      <w:pPr>
        <w:spacing w:before="0" w:line="240" w:lineRule="auto"/>
      </w:pPr>
      <w:r>
        <w:separator/>
      </w:r>
    </w:p>
  </w:footnote>
  <w:footnote w:type="continuationSeparator" w:id="0">
    <w:p w14:paraId="0FFFD34E" w14:textId="77777777" w:rsidR="008E69F3" w:rsidRDefault="008E69F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BC09" w14:textId="77777777" w:rsidR="004D1C73" w:rsidRDefault="004D1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DCB3" w14:textId="77777777" w:rsidR="00433415" w:rsidRDefault="00433415">
    <w:pPr>
      <w:pStyle w:val="Header"/>
    </w:pPr>
  </w:p>
  <w:p w14:paraId="5E104925" w14:textId="77777777" w:rsidR="00433415" w:rsidRDefault="00433415">
    <w:pPr>
      <w:pStyle w:val="Header"/>
    </w:pPr>
  </w:p>
  <w:p w14:paraId="1BF48DF8" w14:textId="541D62F2" w:rsidR="00433415" w:rsidRDefault="00433415" w:rsidP="00485C69">
    <w:pPr>
      <w:pStyle w:val="Head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6FD86A4D" wp14:editId="3D89D36B">
          <wp:simplePos x="0" y="0"/>
          <wp:positionH relativeFrom="column">
            <wp:posOffset>0</wp:posOffset>
          </wp:positionH>
          <wp:positionV relativeFrom="paragraph">
            <wp:posOffset>-173</wp:posOffset>
          </wp:positionV>
          <wp:extent cx="1249200" cy="457200"/>
          <wp:effectExtent l="0" t="0" r="8255" b="0"/>
          <wp:wrapNone/>
          <wp:docPr id="4" name="image1.pn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picture containing text, clipar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03049" w:rsidRPr="00803049">
      <w:rPr>
        <w:rFonts w:ascii="Palatino Linotype" w:hAnsi="Palatino Linotype"/>
        <w:color w:val="FE6C04"/>
        <w:sz w:val="28"/>
        <w:szCs w:val="28"/>
      </w:rPr>
      <w:t xml:space="preserve"> </w:t>
    </w:r>
    <w:r w:rsidR="00803049">
      <w:rPr>
        <w:rFonts w:ascii="Palatino Linotype" w:hAnsi="Palatino Linotype"/>
        <w:color w:val="FE6C04"/>
        <w:sz w:val="28"/>
        <w:szCs w:val="28"/>
      </w:rPr>
      <w:tab/>
    </w:r>
    <w:r w:rsidR="00803049">
      <w:rPr>
        <w:rFonts w:ascii="Palatino Linotype" w:hAnsi="Palatino Linotype"/>
        <w:color w:val="FE6C04"/>
        <w:sz w:val="28"/>
        <w:szCs w:val="28"/>
      </w:rPr>
      <w:tab/>
    </w:r>
    <w:r w:rsidR="002D5DF4">
      <w:rPr>
        <w:rFonts w:ascii="Palatino Linotype" w:hAnsi="Palatino Linotype"/>
        <w:color w:val="FE6C04"/>
        <w:sz w:val="28"/>
        <w:szCs w:val="28"/>
      </w:rPr>
      <w:t>SUSTAINABILITY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B660" w14:textId="77777777" w:rsidR="004D1C73" w:rsidRDefault="004D1C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5FD6" w14:textId="77777777" w:rsidR="00BC3788" w:rsidRDefault="00BC3788">
    <w:pPr>
      <w:pStyle w:val="Header"/>
    </w:pPr>
  </w:p>
  <w:p w14:paraId="57DC58B3" w14:textId="77777777" w:rsidR="00BC3788" w:rsidRDefault="00BC3788">
    <w:pPr>
      <w:pStyle w:val="Header"/>
    </w:pPr>
  </w:p>
  <w:p w14:paraId="3B43C191" w14:textId="2BF9C830" w:rsidR="00BC3788" w:rsidRDefault="00BC3788" w:rsidP="00485C69">
    <w:pPr>
      <w:pStyle w:val="Header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316598CA" wp14:editId="21A3514E">
          <wp:simplePos x="0" y="0"/>
          <wp:positionH relativeFrom="column">
            <wp:posOffset>0</wp:posOffset>
          </wp:positionH>
          <wp:positionV relativeFrom="paragraph">
            <wp:posOffset>-173</wp:posOffset>
          </wp:positionV>
          <wp:extent cx="1249200" cy="457200"/>
          <wp:effectExtent l="0" t="0" r="8255" b="0"/>
          <wp:wrapNone/>
          <wp:docPr id="1" name="image1.pn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picture containing text, clipar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03049">
      <w:rPr>
        <w:rFonts w:ascii="Palatino Linotype" w:hAnsi="Palatino Linotype"/>
        <w:color w:val="FE6C04"/>
        <w:sz w:val="28"/>
        <w:szCs w:val="28"/>
      </w:rPr>
      <w:t xml:space="preserve"> </w:t>
    </w:r>
    <w:r>
      <w:rPr>
        <w:rFonts w:ascii="Palatino Linotype" w:hAnsi="Palatino Linotype"/>
        <w:color w:val="FE6C04"/>
        <w:sz w:val="28"/>
        <w:szCs w:val="28"/>
      </w:rPr>
      <w:tab/>
    </w:r>
    <w:r>
      <w:rPr>
        <w:rFonts w:ascii="Palatino Linotype" w:hAnsi="Palatino Linotype"/>
        <w:color w:val="FE6C04"/>
        <w:sz w:val="28"/>
        <w:szCs w:val="28"/>
      </w:rPr>
      <w:tab/>
    </w:r>
    <w:r>
      <w:rPr>
        <w:rFonts w:ascii="Palatino Linotype" w:hAnsi="Palatino Linotype"/>
        <w:color w:val="FE6C04"/>
        <w:sz w:val="28"/>
        <w:szCs w:val="28"/>
      </w:rPr>
      <w:tab/>
    </w:r>
    <w:r>
      <w:rPr>
        <w:rFonts w:ascii="Palatino Linotype" w:hAnsi="Palatino Linotype"/>
        <w:color w:val="FE6C04"/>
        <w:sz w:val="28"/>
        <w:szCs w:val="28"/>
      </w:rPr>
      <w:tab/>
    </w:r>
    <w:r>
      <w:rPr>
        <w:rFonts w:ascii="Palatino Linotype" w:hAnsi="Palatino Linotype"/>
        <w:color w:val="FE6C04"/>
        <w:sz w:val="28"/>
        <w:szCs w:val="28"/>
      </w:rPr>
      <w:tab/>
    </w:r>
    <w:r>
      <w:rPr>
        <w:rFonts w:ascii="Palatino Linotype" w:hAnsi="Palatino Linotype"/>
        <w:color w:val="FE6C04"/>
        <w:sz w:val="28"/>
        <w:szCs w:val="28"/>
      </w:rPr>
      <w:tab/>
    </w:r>
    <w:r w:rsidR="004D1C73">
      <w:rPr>
        <w:rFonts w:ascii="Palatino Linotype" w:hAnsi="Palatino Linotype"/>
        <w:color w:val="FE6C04"/>
        <w:sz w:val="28"/>
        <w:szCs w:val="28"/>
      </w:rPr>
      <w:t>SUSTAINABILITY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B4DFF"/>
    <w:multiLevelType w:val="multilevel"/>
    <w:tmpl w:val="AE0C6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D9143A"/>
    <w:multiLevelType w:val="multilevel"/>
    <w:tmpl w:val="47089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615752"/>
    <w:multiLevelType w:val="multilevel"/>
    <w:tmpl w:val="550407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E7C5EB5"/>
    <w:multiLevelType w:val="hybridMultilevel"/>
    <w:tmpl w:val="35F6A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28227">
    <w:abstractNumId w:val="1"/>
  </w:num>
  <w:num w:numId="2" w16cid:durableId="949749170">
    <w:abstractNumId w:val="2"/>
  </w:num>
  <w:num w:numId="3" w16cid:durableId="2060282165">
    <w:abstractNumId w:val="0"/>
  </w:num>
  <w:num w:numId="4" w16cid:durableId="162088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F1"/>
    <w:rsid w:val="00004167"/>
    <w:rsid w:val="00030D72"/>
    <w:rsid w:val="00064352"/>
    <w:rsid w:val="000A6461"/>
    <w:rsid w:val="000D20D1"/>
    <w:rsid w:val="000F020D"/>
    <w:rsid w:val="00150FE7"/>
    <w:rsid w:val="001603F7"/>
    <w:rsid w:val="001638D8"/>
    <w:rsid w:val="00163951"/>
    <w:rsid w:val="00166004"/>
    <w:rsid w:val="001B0022"/>
    <w:rsid w:val="001C44F4"/>
    <w:rsid w:val="001E3034"/>
    <w:rsid w:val="001F6F35"/>
    <w:rsid w:val="00204DE2"/>
    <w:rsid w:val="00233421"/>
    <w:rsid w:val="00264B60"/>
    <w:rsid w:val="00292392"/>
    <w:rsid w:val="002A1EDB"/>
    <w:rsid w:val="002A29EA"/>
    <w:rsid w:val="002B0633"/>
    <w:rsid w:val="002D0FD8"/>
    <w:rsid w:val="002D5DF4"/>
    <w:rsid w:val="00301D6F"/>
    <w:rsid w:val="0030590A"/>
    <w:rsid w:val="00307D7B"/>
    <w:rsid w:val="003131AC"/>
    <w:rsid w:val="00322917"/>
    <w:rsid w:val="00324D3A"/>
    <w:rsid w:val="00327C38"/>
    <w:rsid w:val="00332A6B"/>
    <w:rsid w:val="003411CB"/>
    <w:rsid w:val="003A0512"/>
    <w:rsid w:val="003E7308"/>
    <w:rsid w:val="00433415"/>
    <w:rsid w:val="00437615"/>
    <w:rsid w:val="004546A8"/>
    <w:rsid w:val="00454AF6"/>
    <w:rsid w:val="004856E6"/>
    <w:rsid w:val="00485C69"/>
    <w:rsid w:val="004C523A"/>
    <w:rsid w:val="004D1BCA"/>
    <w:rsid w:val="004D1C73"/>
    <w:rsid w:val="004D2243"/>
    <w:rsid w:val="005066F1"/>
    <w:rsid w:val="0053203D"/>
    <w:rsid w:val="00532872"/>
    <w:rsid w:val="0056470A"/>
    <w:rsid w:val="00573237"/>
    <w:rsid w:val="00581B7B"/>
    <w:rsid w:val="00594F26"/>
    <w:rsid w:val="005A1F8A"/>
    <w:rsid w:val="005B5EE7"/>
    <w:rsid w:val="005D07E8"/>
    <w:rsid w:val="006525B6"/>
    <w:rsid w:val="00687448"/>
    <w:rsid w:val="006966D1"/>
    <w:rsid w:val="006C1E21"/>
    <w:rsid w:val="006E04E4"/>
    <w:rsid w:val="006E1B64"/>
    <w:rsid w:val="00701C7A"/>
    <w:rsid w:val="0070280B"/>
    <w:rsid w:val="007072B0"/>
    <w:rsid w:val="00716CB7"/>
    <w:rsid w:val="00740800"/>
    <w:rsid w:val="00750F18"/>
    <w:rsid w:val="007525A0"/>
    <w:rsid w:val="00760EE4"/>
    <w:rsid w:val="0077581C"/>
    <w:rsid w:val="007B151B"/>
    <w:rsid w:val="007C1F01"/>
    <w:rsid w:val="007D3981"/>
    <w:rsid w:val="007E6FAB"/>
    <w:rsid w:val="00803049"/>
    <w:rsid w:val="00822F97"/>
    <w:rsid w:val="0082457A"/>
    <w:rsid w:val="0083057A"/>
    <w:rsid w:val="008414BD"/>
    <w:rsid w:val="008E4529"/>
    <w:rsid w:val="008E5D5A"/>
    <w:rsid w:val="008E69F3"/>
    <w:rsid w:val="008F6C3C"/>
    <w:rsid w:val="00940551"/>
    <w:rsid w:val="00972292"/>
    <w:rsid w:val="00975C6A"/>
    <w:rsid w:val="00982DDD"/>
    <w:rsid w:val="009A0ACB"/>
    <w:rsid w:val="009A1CC5"/>
    <w:rsid w:val="009B31AF"/>
    <w:rsid w:val="00A33A9E"/>
    <w:rsid w:val="00A451C1"/>
    <w:rsid w:val="00A50DFB"/>
    <w:rsid w:val="00A61B58"/>
    <w:rsid w:val="00AC1B5F"/>
    <w:rsid w:val="00AF47B7"/>
    <w:rsid w:val="00B2291B"/>
    <w:rsid w:val="00B40727"/>
    <w:rsid w:val="00BA1F18"/>
    <w:rsid w:val="00BA45FA"/>
    <w:rsid w:val="00BC3788"/>
    <w:rsid w:val="00BD6730"/>
    <w:rsid w:val="00BD76DA"/>
    <w:rsid w:val="00C75860"/>
    <w:rsid w:val="00C8149F"/>
    <w:rsid w:val="00C82E99"/>
    <w:rsid w:val="00CC40B6"/>
    <w:rsid w:val="00CD18D2"/>
    <w:rsid w:val="00CE7A08"/>
    <w:rsid w:val="00CF2F2F"/>
    <w:rsid w:val="00D101DE"/>
    <w:rsid w:val="00D33EDA"/>
    <w:rsid w:val="00D404F5"/>
    <w:rsid w:val="00D61681"/>
    <w:rsid w:val="00D814D3"/>
    <w:rsid w:val="00D926B7"/>
    <w:rsid w:val="00DA404E"/>
    <w:rsid w:val="00DA69F4"/>
    <w:rsid w:val="00DB41CC"/>
    <w:rsid w:val="00DB65AF"/>
    <w:rsid w:val="00DC0466"/>
    <w:rsid w:val="00DC3A0C"/>
    <w:rsid w:val="00DD19E1"/>
    <w:rsid w:val="00E2756B"/>
    <w:rsid w:val="00E4006F"/>
    <w:rsid w:val="00E9456A"/>
    <w:rsid w:val="00EA2366"/>
    <w:rsid w:val="00ED5F9B"/>
    <w:rsid w:val="00F0199E"/>
    <w:rsid w:val="00F25726"/>
    <w:rsid w:val="00F63CD8"/>
    <w:rsid w:val="00F65F43"/>
    <w:rsid w:val="00F75EE6"/>
    <w:rsid w:val="00F93555"/>
    <w:rsid w:val="00FA40FF"/>
    <w:rsid w:val="00FA6AB5"/>
    <w:rsid w:val="00FB3082"/>
    <w:rsid w:val="00FE281F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3CA20"/>
  <w15:docId w15:val="{E6705FD5-7CCD-4756-BA2A-38F55C50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roid Serif" w:eastAsia="Droid Serif" w:hAnsi="Droid Serif" w:cs="Droid Serif"/>
        <w:color w:val="666666"/>
        <w:sz w:val="22"/>
        <w:szCs w:val="22"/>
        <w:lang w:val="en-GB" w:eastAsia="en-GB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48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6E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2756B"/>
  </w:style>
  <w:style w:type="paragraph" w:styleId="ListParagraph">
    <w:name w:val="List Paragraph"/>
    <w:basedOn w:val="Normal"/>
    <w:uiPriority w:val="34"/>
    <w:qFormat/>
    <w:rsid w:val="00532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B7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B7B"/>
  </w:style>
  <w:style w:type="paragraph" w:styleId="Footer">
    <w:name w:val="footer"/>
    <w:basedOn w:val="Normal"/>
    <w:link w:val="FooterChar"/>
    <w:uiPriority w:val="99"/>
    <w:unhideWhenUsed/>
    <w:rsid w:val="00581B7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B7B"/>
  </w:style>
  <w:style w:type="paragraph" w:styleId="NormalWeb">
    <w:name w:val="Normal (Web)"/>
    <w:basedOn w:val="Normal"/>
    <w:uiPriority w:val="99"/>
    <w:unhideWhenUsed/>
    <w:rsid w:val="00DD19E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9EA"/>
    <w:rPr>
      <w:color w:val="605E5C"/>
      <w:shd w:val="clear" w:color="auto" w:fill="E1DFDD"/>
    </w:rPr>
  </w:style>
  <w:style w:type="character" w:customStyle="1" w:styleId="visually-hidden-always">
    <w:name w:val="visually-hidden-always"/>
    <w:basedOn w:val="DefaultParagraphFont"/>
    <w:rsid w:val="007B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reeneconomy.co.uk/tools/resourc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hyperlink" Target="https://carboncalculator.greeneconomy.co.u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bonliteracy.com/sme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greatermanchester-ca.gov.uk/what-we-do/environment/five-year-environment-plan/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llenmacarthurfoundation.org/topics/circular-economy-introduction/overview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MU colours">
      <a:dk1>
        <a:srgbClr val="FE6C04"/>
      </a:dk1>
      <a:lt1>
        <a:srgbClr val="00C1D4"/>
      </a:lt1>
      <a:dk2>
        <a:srgbClr val="032F6C"/>
      </a:dk2>
      <a:lt2>
        <a:srgbClr val="505759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MU">
      <a:majorFont>
        <a:latin typeface="Palatino Linotype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cf351b-8332-4b9a-a0b7-62298c44fe93" xsi:nil="true"/>
    <lcf76f155ced4ddcb4097134ff3c332f xmlns="f7f0bedb-2fa7-456e-99bd-f300952510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7606D256B774F8AC0229E5B3E5478" ma:contentTypeVersion="12" ma:contentTypeDescription="Create a new document." ma:contentTypeScope="" ma:versionID="1aba5a67cdc587e83c838319ac7866ad">
  <xsd:schema xmlns:xsd="http://www.w3.org/2001/XMLSchema" xmlns:xs="http://www.w3.org/2001/XMLSchema" xmlns:p="http://schemas.microsoft.com/office/2006/metadata/properties" xmlns:ns2="f7f0bedb-2fa7-456e-99bd-f30095251085" xmlns:ns3="59cf351b-8332-4b9a-a0b7-62298c44fe93" targetNamespace="http://schemas.microsoft.com/office/2006/metadata/properties" ma:root="true" ma:fieldsID="b83bb5f5915491fa9e9da87ca4682ae2" ns2:_="" ns3:_="">
    <xsd:import namespace="f7f0bedb-2fa7-456e-99bd-f30095251085"/>
    <xsd:import namespace="59cf351b-8332-4b9a-a0b7-62298c44f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bedb-2fa7-456e-99bd-f30095251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d4c506-e2aa-436a-9dbd-af2c1579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f351b-8332-4b9a-a0b7-62298c44fe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21326e-f08e-4a1b-a909-0a6133b34783}" ma:internalName="TaxCatchAll" ma:showField="CatchAllData" ma:web="59cf351b-8332-4b9a-a0b7-62298c44f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8733A-9787-45A1-B08F-726802118E73}">
  <ds:schemaRefs>
    <ds:schemaRef ds:uri="http://schemas.microsoft.com/office/2006/metadata/properties"/>
    <ds:schemaRef ds:uri="http://schemas.microsoft.com/office/infopath/2007/PartnerControls"/>
    <ds:schemaRef ds:uri="59cf351b-8332-4b9a-a0b7-62298c44fe93"/>
    <ds:schemaRef ds:uri="f7f0bedb-2fa7-456e-99bd-f30095251085"/>
  </ds:schemaRefs>
</ds:datastoreItem>
</file>

<file path=customXml/itemProps2.xml><?xml version="1.0" encoding="utf-8"?>
<ds:datastoreItem xmlns:ds="http://schemas.openxmlformats.org/officeDocument/2006/customXml" ds:itemID="{98DBD23F-D9B1-479A-96ED-BE85341DF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D4E60-0A31-4E05-9AF8-0E3DCC24C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bedb-2fa7-456e-99bd-f30095251085"/>
    <ds:schemaRef ds:uri="59cf351b-8332-4b9a-a0b7-62298c44f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Watson</dc:creator>
  <cp:lastModifiedBy>Jacqueline Carter</cp:lastModifiedBy>
  <cp:revision>24</cp:revision>
  <dcterms:created xsi:type="dcterms:W3CDTF">2024-10-30T10:45:00Z</dcterms:created>
  <dcterms:modified xsi:type="dcterms:W3CDTF">2024-12-13T11:12:00Z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0x010100A1E7606D256B774F8AC0229E5B3E5478</vt:lpwstr>
  </property>
</Properties>
</file>