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4A38" w14:textId="6ABDA86A" w:rsidR="005066F1" w:rsidRPr="00580ECE" w:rsidRDefault="00580ECE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FE6C04" w:themeColor="text1"/>
          <w:sz w:val="32"/>
          <w:szCs w:val="32"/>
        </w:rPr>
      </w:pPr>
      <w:r w:rsidRPr="00580ECE">
        <w:rPr>
          <w:rFonts w:asciiTheme="majorHAnsi" w:hAnsiTheme="majorHAnsi"/>
          <w:color w:val="FE6C04" w:themeColor="text1"/>
          <w:sz w:val="32"/>
          <w:szCs w:val="32"/>
        </w:rPr>
        <w:t>DOING BUSINESS BETTER</w:t>
      </w:r>
      <w:r w:rsidR="001603F7" w:rsidRPr="00580ECE">
        <w:rPr>
          <w:rFonts w:asciiTheme="majorHAnsi" w:hAnsiTheme="majorHAnsi"/>
          <w:color w:val="FE6C04" w:themeColor="text1"/>
          <w:sz w:val="32"/>
          <w:szCs w:val="32"/>
        </w:rPr>
        <w:t xml:space="preserve"> </w:t>
      </w:r>
      <w:r w:rsidR="002D0FD8" w:rsidRPr="00580ECE">
        <w:rPr>
          <w:rFonts w:asciiTheme="majorHAnsi" w:hAnsiTheme="majorHAnsi"/>
          <w:color w:val="FE6C04" w:themeColor="text1"/>
          <w:sz w:val="32"/>
          <w:szCs w:val="32"/>
        </w:rPr>
        <w:t>EMBEDDING ACTION PLAN</w:t>
      </w:r>
    </w:p>
    <w:p w14:paraId="76107528" w14:textId="3E5C8AA8" w:rsidR="008E4529" w:rsidRDefault="00CF2F2F" w:rsidP="008E4529">
      <w:pPr>
        <w:pStyle w:val="Heading2"/>
        <w:spacing w:before="0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  <w:r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EMBEDDING</w:t>
      </w:r>
      <w:r w:rsidR="008E4529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 xml:space="preserve"> </w:t>
      </w:r>
      <w:r w:rsidR="00701C7A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STEP</w:t>
      </w:r>
      <w:r w:rsidR="008E4529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S</w:t>
      </w:r>
    </w:p>
    <w:p w14:paraId="706B880C" w14:textId="15714A9A" w:rsidR="008E4529" w:rsidRDefault="005B5EE7" w:rsidP="008E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-Regular" w:hAnsi="Gilroy-Regular"/>
          <w:color w:val="5F6368"/>
          <w:sz w:val="24"/>
          <w:szCs w:val="24"/>
        </w:rPr>
      </w:pPr>
      <w:r w:rsidRPr="005B5EE7">
        <w:rPr>
          <w:rFonts w:ascii="Gilroy-Regular" w:hAnsi="Gilroy-Regular"/>
          <w:color w:val="5F6368"/>
          <w:sz w:val="24"/>
          <w:szCs w:val="24"/>
        </w:rPr>
        <w:t>There are several steps to consider in turning a short-term improvement into a sustainable change.</w:t>
      </w:r>
    </w:p>
    <w:p w14:paraId="0D128C97" w14:textId="063ED759" w:rsidR="007D1384" w:rsidRPr="00CF6A10" w:rsidRDefault="007D1384" w:rsidP="008E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-Regular" w:hAnsi="Gilroy-Regular"/>
          <w:color w:val="5F6368"/>
          <w:sz w:val="24"/>
          <w:szCs w:val="24"/>
        </w:rPr>
      </w:pPr>
      <w:r w:rsidRPr="007D1384">
        <w:rPr>
          <w:rFonts w:ascii="Gilroy-Regular" w:hAnsi="Gilroy-Regular"/>
          <w:color w:val="5F6368"/>
          <w:sz w:val="24"/>
          <w:szCs w:val="24"/>
        </w:rPr>
        <w:t>You should consider how often you want to review your approach (and returning to this topic will be a useful way to do this). You can also consider where you can become better over time, and what longer term actions you need to take.  </w:t>
      </w:r>
    </w:p>
    <w:p w14:paraId="684F32C3" w14:textId="77777777" w:rsidR="008E4529" w:rsidRDefault="008E4529" w:rsidP="008E4529">
      <w:pPr>
        <w:pStyle w:val="Heading2"/>
        <w:spacing w:before="0"/>
        <w:rPr>
          <w:rFonts w:ascii="Gilroy-Regular" w:eastAsia="Droid Serif" w:hAnsi="Gilroy-Regular" w:cs="Droid Serif"/>
          <w:color w:val="5F6368"/>
          <w:sz w:val="24"/>
          <w:szCs w:val="24"/>
        </w:rPr>
      </w:pPr>
    </w:p>
    <w:tbl>
      <w:tblPr>
        <w:tblStyle w:val="a1"/>
        <w:tblW w:w="5108" w:type="pct"/>
        <w:tblBorders>
          <w:top w:val="single" w:sz="8" w:space="0" w:color="FE6C04" w:themeColor="text1"/>
          <w:left w:val="single" w:sz="8" w:space="0" w:color="FE6C04" w:themeColor="text1"/>
          <w:bottom w:val="single" w:sz="8" w:space="0" w:color="FE6C04" w:themeColor="text1"/>
          <w:right w:val="single" w:sz="8" w:space="0" w:color="FE6C04" w:themeColor="text1"/>
          <w:insideH w:val="single" w:sz="8" w:space="0" w:color="FE6C04" w:themeColor="text1"/>
          <w:insideV w:val="single" w:sz="8" w:space="0" w:color="FE6C04" w:themeColor="text1"/>
        </w:tblBorders>
        <w:tblLook w:val="0400" w:firstRow="0" w:lastRow="0" w:firstColumn="0" w:lastColumn="0" w:noHBand="0" w:noVBand="1"/>
      </w:tblPr>
      <w:tblGrid>
        <w:gridCol w:w="2957"/>
        <w:gridCol w:w="6244"/>
      </w:tblGrid>
      <w:tr w:rsidR="008E4529" w14:paraId="66AC146E" w14:textId="77777777" w:rsidTr="00F36B72">
        <w:trPr>
          <w:trHeight w:val="645"/>
        </w:trPr>
        <w:tc>
          <w:tcPr>
            <w:tcW w:w="5000" w:type="pct"/>
            <w:gridSpan w:val="2"/>
            <w:shd w:val="clear" w:color="auto" w:fill="FEE1CC" w:themeFill="text1" w:themeFillTint="33"/>
          </w:tcPr>
          <w:p w14:paraId="415B4D2A" w14:textId="1A39185A" w:rsidR="008E4529" w:rsidRPr="00204DE2" w:rsidRDefault="000B544A" w:rsidP="00F36B72">
            <w:pPr>
              <w:widowControl/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DOING BUSINESS BETTER</w:t>
            </w:r>
            <w:r w:rsidR="008E4529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</w:t>
            </w:r>
            <w:r w:rsidR="00740800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EMBEDDING</w:t>
            </w:r>
            <w:r w:rsidR="008E4529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IDEAS </w:t>
            </w:r>
          </w:p>
        </w:tc>
      </w:tr>
      <w:tr w:rsidR="008E4529" w14:paraId="2033EFEF" w14:textId="77777777" w:rsidTr="00F36B72">
        <w:trPr>
          <w:trHeight w:val="50"/>
        </w:trPr>
        <w:tc>
          <w:tcPr>
            <w:tcW w:w="1607" w:type="pct"/>
          </w:tcPr>
          <w:p w14:paraId="7298A76F" w14:textId="114AC9DB" w:rsidR="008E4529" w:rsidRPr="00C6402F" w:rsidRDefault="005C6CBE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6402F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Review the Marketing Mix</w:t>
            </w:r>
          </w:p>
        </w:tc>
        <w:tc>
          <w:tcPr>
            <w:tcW w:w="3393" w:type="pct"/>
          </w:tcPr>
          <w:p w14:paraId="655C479B" w14:textId="57A26105" w:rsidR="008E4529" w:rsidRPr="00C6402F" w:rsidRDefault="008232E8" w:rsidP="00F36B72">
            <w:pPr>
              <w:widowControl/>
              <w:spacing w:before="0"/>
              <w:rPr>
                <w:rFonts w:ascii="Gilroy-Bold" w:hAnsi="Gilroy-Bold"/>
                <w:color w:val="5F6368"/>
                <w:sz w:val="24"/>
                <w:szCs w:val="24"/>
              </w:rPr>
            </w:pPr>
            <w:r w:rsidRPr="00C6402F">
              <w:rPr>
                <w:rFonts w:ascii="Gilroy-Bold" w:hAnsi="Gilroy-Bold"/>
                <w:color w:val="5F6368"/>
                <w:sz w:val="24"/>
                <w:szCs w:val="24"/>
              </w:rPr>
              <w:t xml:space="preserve">Regularly return to the Marketing Mix Review tool (say every 6 months) and consider how your 7Ps mix is meeting the needs of that market. </w:t>
            </w:r>
          </w:p>
        </w:tc>
      </w:tr>
      <w:tr w:rsidR="008E4529" w14:paraId="149E74C4" w14:textId="77777777" w:rsidTr="00F36B72">
        <w:trPr>
          <w:trHeight w:val="50"/>
        </w:trPr>
        <w:tc>
          <w:tcPr>
            <w:tcW w:w="1607" w:type="pct"/>
          </w:tcPr>
          <w:p w14:paraId="03886983" w14:textId="6B7B7076" w:rsidR="008E4529" w:rsidRPr="00C6402F" w:rsidRDefault="008232E8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6402F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Study complementary topics</w:t>
            </w:r>
          </w:p>
        </w:tc>
        <w:tc>
          <w:tcPr>
            <w:tcW w:w="3393" w:type="pct"/>
          </w:tcPr>
          <w:p w14:paraId="23447738" w14:textId="1FBE4957" w:rsidR="008E4529" w:rsidRPr="00C6402F" w:rsidRDefault="0006368D" w:rsidP="00F36B72">
            <w:pPr>
              <w:widowControl/>
              <w:spacing w:before="0"/>
              <w:rPr>
                <w:rFonts w:ascii="Gilroy-Bold" w:hAnsi="Gilroy-Bold"/>
                <w:color w:val="5F6368"/>
                <w:sz w:val="24"/>
                <w:szCs w:val="24"/>
              </w:rPr>
            </w:pPr>
            <w:r w:rsidRPr="00C6402F">
              <w:rPr>
                <w:rFonts w:ascii="Gilroy-Bold" w:hAnsi="Gilroy-Bold"/>
                <w:color w:val="5F6368"/>
                <w:sz w:val="24"/>
                <w:szCs w:val="24"/>
              </w:rPr>
              <w:t>Consider looking at our learning paths on </w:t>
            </w:r>
            <w:r w:rsidRPr="00C6402F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Pricing </w:t>
            </w:r>
            <w:r w:rsidRPr="00C6402F">
              <w:rPr>
                <w:rFonts w:ascii="Gilroy-Bold" w:hAnsi="Gilroy-Bold"/>
                <w:color w:val="5F6368"/>
                <w:sz w:val="24"/>
                <w:szCs w:val="24"/>
              </w:rPr>
              <w:t>(under the </w:t>
            </w:r>
            <w:r w:rsidRPr="00C6402F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Finance </w:t>
            </w:r>
            <w:r w:rsidRPr="00C6402F">
              <w:rPr>
                <w:rFonts w:ascii="Gilroy-Bold" w:hAnsi="Gilroy-Bold"/>
                <w:color w:val="5F6368"/>
                <w:sz w:val="24"/>
                <w:szCs w:val="24"/>
              </w:rPr>
              <w:t>module) and </w:t>
            </w:r>
            <w:r w:rsidRPr="00C6402F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Value Proposition </w:t>
            </w:r>
            <w:r w:rsidRPr="00C6402F">
              <w:rPr>
                <w:rFonts w:ascii="Gilroy-Bold" w:hAnsi="Gilroy-Bold"/>
                <w:color w:val="5F6368"/>
                <w:sz w:val="24"/>
                <w:szCs w:val="24"/>
              </w:rPr>
              <w:t>(under the </w:t>
            </w:r>
            <w:r w:rsidRPr="00C6402F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Markets and Models </w:t>
            </w:r>
            <w:r w:rsidRPr="00C6402F">
              <w:rPr>
                <w:rFonts w:ascii="Gilroy-Bold" w:hAnsi="Gilroy-Bold"/>
                <w:color w:val="5F6368"/>
                <w:sz w:val="24"/>
                <w:szCs w:val="24"/>
              </w:rPr>
              <w:t xml:space="preserve">module) to build further on your 7Ps mix. </w:t>
            </w:r>
          </w:p>
        </w:tc>
      </w:tr>
      <w:tr w:rsidR="008E4529" w14:paraId="5F18D58E" w14:textId="77777777" w:rsidTr="00F36B72">
        <w:trPr>
          <w:trHeight w:val="50"/>
        </w:trPr>
        <w:tc>
          <w:tcPr>
            <w:tcW w:w="1607" w:type="pct"/>
          </w:tcPr>
          <w:p w14:paraId="1DF23961" w14:textId="47ACC214" w:rsidR="008E4529" w:rsidRPr="00C6402F" w:rsidRDefault="008232E8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6402F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Utilise all seven elements</w:t>
            </w:r>
          </w:p>
        </w:tc>
        <w:tc>
          <w:tcPr>
            <w:tcW w:w="3393" w:type="pct"/>
          </w:tcPr>
          <w:p w14:paraId="708FFE39" w14:textId="0D8C5BBB" w:rsidR="008E4529" w:rsidRPr="00C6402F" w:rsidRDefault="0006368D" w:rsidP="00F36B72">
            <w:pPr>
              <w:widowControl/>
              <w:spacing w:before="0"/>
              <w:rPr>
                <w:rFonts w:ascii="Gilroy-Bold" w:hAnsi="Gilroy-Bold"/>
                <w:color w:val="5F6368"/>
                <w:sz w:val="24"/>
                <w:szCs w:val="24"/>
              </w:rPr>
            </w:pPr>
            <w:r w:rsidRPr="00C6402F">
              <w:rPr>
                <w:rFonts w:ascii="Gilroy-Bold" w:hAnsi="Gilroy-Bold"/>
                <w:color w:val="5F6368"/>
                <w:sz w:val="24"/>
                <w:szCs w:val="24"/>
              </w:rPr>
              <w:t xml:space="preserve">Consider how you can build a compelling brand from the constituent parts of your 7Ps mix. </w:t>
            </w:r>
          </w:p>
        </w:tc>
      </w:tr>
    </w:tbl>
    <w:p w14:paraId="56C5845F" w14:textId="77777777" w:rsidR="008E4529" w:rsidRDefault="008E4529" w:rsidP="008E4529">
      <w:pPr>
        <w:pStyle w:val="Heading2"/>
        <w:spacing w:before="0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</w:p>
    <w:p w14:paraId="0655DA3F" w14:textId="77777777" w:rsidR="00F25726" w:rsidRDefault="00F25726">
      <w:pPr>
        <w:rPr>
          <w:rFonts w:asciiTheme="majorHAnsi" w:eastAsia="Oswald" w:hAnsiTheme="majorHAnsi" w:cs="Oswald"/>
          <w:b/>
          <w:bCs/>
          <w:color w:val="505759" w:themeColor="background2"/>
          <w:sz w:val="30"/>
          <w:szCs w:val="30"/>
        </w:rPr>
      </w:pPr>
      <w:r>
        <w:rPr>
          <w:rFonts w:asciiTheme="majorHAnsi" w:hAnsiTheme="majorHAnsi"/>
          <w:b/>
          <w:bCs/>
          <w:color w:val="505759" w:themeColor="background2"/>
          <w:sz w:val="30"/>
          <w:szCs w:val="30"/>
        </w:rPr>
        <w:br w:type="page"/>
      </w:r>
    </w:p>
    <w:p w14:paraId="385BC7AB" w14:textId="77777777" w:rsidR="008F6C3C" w:rsidRDefault="008F6C3C" w:rsidP="002D0FD8">
      <w:pPr>
        <w:pStyle w:val="Heading2"/>
        <w:rPr>
          <w:rFonts w:asciiTheme="majorHAnsi" w:hAnsiTheme="majorHAnsi"/>
          <w:b/>
          <w:bCs/>
          <w:color w:val="505759" w:themeColor="background2"/>
          <w:sz w:val="30"/>
          <w:szCs w:val="30"/>
        </w:rPr>
        <w:sectPr w:rsidR="008F6C3C" w:rsidSect="00C82E99">
          <w:headerReference w:type="default" r:id="rId10"/>
          <w:footerReference w:type="default" r:id="rId11"/>
          <w:pgSz w:w="11906" w:h="16838"/>
          <w:pgMar w:top="1440" w:right="1440" w:bottom="1440" w:left="1440" w:header="0" w:footer="720" w:gutter="0"/>
          <w:pgNumType w:start="1"/>
          <w:cols w:space="720"/>
          <w:docGrid w:linePitch="299"/>
        </w:sectPr>
      </w:pPr>
    </w:p>
    <w:p w14:paraId="1B3FCAF0" w14:textId="09B1D570" w:rsidR="002D0FD8" w:rsidRPr="003131AC" w:rsidRDefault="002D0FD8" w:rsidP="002D0FD8">
      <w:pPr>
        <w:pStyle w:val="Heading2"/>
        <w:rPr>
          <w:rFonts w:asciiTheme="majorHAnsi" w:eastAsia="Arial" w:hAnsiTheme="majorHAnsi" w:cs="Arial"/>
          <w:b/>
          <w:bCs/>
          <w:color w:val="FE6C04" w:themeColor="text1"/>
          <w:sz w:val="30"/>
          <w:szCs w:val="30"/>
        </w:rPr>
      </w:pPr>
      <w:r w:rsidRPr="00FA6AB5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lastRenderedPageBreak/>
        <w:t>INSTRUCTIONS</w:t>
      </w:r>
      <w:r w:rsidRPr="003131AC">
        <w:rPr>
          <w:rFonts w:asciiTheme="majorHAnsi" w:hAnsiTheme="majorHAnsi"/>
          <w:b/>
          <w:bCs/>
          <w:color w:val="FE6C04" w:themeColor="text1"/>
          <w:sz w:val="30"/>
          <w:szCs w:val="30"/>
        </w:rPr>
        <w:t xml:space="preserve"> </w:t>
      </w:r>
    </w:p>
    <w:p w14:paraId="77A69A73" w14:textId="15F26CFF" w:rsidR="005A1F8A" w:rsidRPr="003A7D5F" w:rsidRDefault="005A1F8A" w:rsidP="005A1F8A">
      <w:pPr>
        <w:pBdr>
          <w:top w:val="nil"/>
          <w:left w:val="nil"/>
          <w:bottom w:val="nil"/>
          <w:right w:val="nil"/>
          <w:between w:val="nil"/>
        </w:pBdr>
        <w:rPr>
          <w:rFonts w:ascii="Gilroy-Regular" w:hAnsi="Gilroy-Regular"/>
          <w:color w:val="5F6368"/>
          <w:sz w:val="24"/>
          <w:szCs w:val="24"/>
        </w:rPr>
      </w:pPr>
      <w:r w:rsidRPr="003A7D5F">
        <w:rPr>
          <w:rFonts w:ascii="Gilroy-Regular" w:hAnsi="Gilroy-Regular"/>
          <w:color w:val="5F6368"/>
          <w:sz w:val="24"/>
          <w:szCs w:val="24"/>
        </w:rPr>
        <w:t>Use this document</w:t>
      </w:r>
      <w:r w:rsidRPr="003A7D5F">
        <w:rPr>
          <w:rFonts w:ascii="Gilroy-Regular" w:hAnsi="Gilroy-Regular"/>
          <w:b/>
          <w:bCs/>
          <w:color w:val="5F6368"/>
          <w:sz w:val="24"/>
          <w:szCs w:val="24"/>
        </w:rPr>
        <w:t xml:space="preserve"> </w:t>
      </w:r>
      <w:r w:rsidRPr="003A7D5F">
        <w:rPr>
          <w:rFonts w:ascii="Gilroy-Regular" w:hAnsi="Gilroy-Regular"/>
          <w:color w:val="5F6368"/>
          <w:sz w:val="24"/>
          <w:szCs w:val="24"/>
        </w:rPr>
        <w:t>to build a</w:t>
      </w:r>
      <w:r>
        <w:rPr>
          <w:rFonts w:ascii="Gilroy-Regular" w:hAnsi="Gilroy-Regular"/>
          <w:color w:val="5F6368"/>
          <w:sz w:val="24"/>
          <w:szCs w:val="24"/>
        </w:rPr>
        <w:t>n</w:t>
      </w:r>
      <w:r w:rsidRPr="003A7D5F">
        <w:rPr>
          <w:rFonts w:ascii="Gilroy-Regular" w:hAnsi="Gilroy-Regular"/>
          <w:color w:val="5F6368"/>
          <w:sz w:val="24"/>
          <w:szCs w:val="24"/>
        </w:rPr>
        <w:t xml:space="preserve"> </w:t>
      </w:r>
      <w:r>
        <w:rPr>
          <w:rFonts w:ascii="Gilroy-Bold" w:hAnsi="Gilroy-Bold"/>
          <w:b/>
          <w:bCs/>
          <w:color w:val="5F6368"/>
          <w:sz w:val="24"/>
          <w:szCs w:val="24"/>
        </w:rPr>
        <w:t xml:space="preserve">Embedding </w:t>
      </w:r>
      <w:r w:rsidRPr="003A7D5F">
        <w:rPr>
          <w:rFonts w:ascii="Gilroy-Bold" w:hAnsi="Gilroy-Bold"/>
          <w:b/>
          <w:bCs/>
          <w:color w:val="5F6368"/>
          <w:sz w:val="24"/>
          <w:szCs w:val="24"/>
        </w:rPr>
        <w:t>Action Plan</w:t>
      </w:r>
      <w:r w:rsidR="00327C38">
        <w:rPr>
          <w:rFonts w:ascii="Gilroy-Bold" w:hAnsi="Gilroy-Bold"/>
          <w:b/>
          <w:bCs/>
          <w:color w:val="5F6368"/>
          <w:sz w:val="24"/>
          <w:szCs w:val="24"/>
        </w:rPr>
        <w:t xml:space="preserve"> </w:t>
      </w:r>
      <w:r w:rsidR="00327C38" w:rsidRPr="00327C38">
        <w:rPr>
          <w:rFonts w:ascii="Gilroy-Bold" w:hAnsi="Gilroy-Bold"/>
          <w:color w:val="5F6368"/>
          <w:sz w:val="24"/>
          <w:szCs w:val="24"/>
        </w:rPr>
        <w:t xml:space="preserve">for </w:t>
      </w:r>
      <w:r w:rsidR="002E10BA">
        <w:rPr>
          <w:rFonts w:ascii="Gilroy-Bold" w:hAnsi="Gilroy-Bold"/>
          <w:b/>
          <w:bCs/>
          <w:color w:val="5F6368"/>
          <w:sz w:val="24"/>
          <w:szCs w:val="24"/>
        </w:rPr>
        <w:t>Doing Business Better</w:t>
      </w:r>
      <w:r w:rsidR="001F6F35">
        <w:rPr>
          <w:rFonts w:ascii="Gilroy-Regular" w:hAnsi="Gilroy-Regular"/>
          <w:color w:val="5F6368"/>
          <w:sz w:val="24"/>
          <w:szCs w:val="24"/>
        </w:rPr>
        <w:t>.</w:t>
      </w:r>
    </w:p>
    <w:p w14:paraId="5D3242AF" w14:textId="61FFCB73" w:rsidR="003131AC" w:rsidRDefault="00DB65AF" w:rsidP="000A6461">
      <w:pPr>
        <w:pBdr>
          <w:top w:val="nil"/>
          <w:left w:val="nil"/>
          <w:bottom w:val="nil"/>
          <w:right w:val="nil"/>
          <w:between w:val="nil"/>
        </w:pBdr>
        <w:ind w:right="4035"/>
        <w:rPr>
          <w:color w:val="5F6368"/>
          <w:sz w:val="24"/>
          <w:szCs w:val="24"/>
        </w:rPr>
      </w:pPr>
      <w:r w:rsidRPr="00F93555">
        <w:rPr>
          <w:rFonts w:ascii="Gilroy-Regular" w:hAnsi="Gilroy-Regular"/>
          <w:color w:val="5F6368"/>
          <w:sz w:val="24"/>
          <w:szCs w:val="24"/>
        </w:rPr>
        <w:t>Additionally, you can use t</w:t>
      </w:r>
      <w:r w:rsidR="00D926B7" w:rsidRPr="00F93555">
        <w:rPr>
          <w:rFonts w:ascii="Gilroy-Regular" w:hAnsi="Gilroy-Regular"/>
          <w:color w:val="5F6368"/>
          <w:sz w:val="24"/>
          <w:szCs w:val="24"/>
        </w:rPr>
        <w:t xml:space="preserve">his as a template </w:t>
      </w:r>
      <w:r w:rsidRPr="00F93555">
        <w:rPr>
          <w:rFonts w:ascii="Gilroy-Regular" w:hAnsi="Gilroy-Regular"/>
          <w:color w:val="5F6368"/>
          <w:sz w:val="24"/>
          <w:szCs w:val="24"/>
        </w:rPr>
        <w:t>to take</w:t>
      </w:r>
      <w:r w:rsidR="000A6461">
        <w:rPr>
          <w:rFonts w:ascii="Gilroy-Regular" w:hAnsi="Gilroy-Regular"/>
          <w:color w:val="5F6368"/>
          <w:sz w:val="24"/>
          <w:szCs w:val="24"/>
        </w:rPr>
        <w:t xml:space="preserve"> 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notes on what you’ve learned or record your thoughts about </w:t>
      </w:r>
      <w:r w:rsidR="001F6F35">
        <w:rPr>
          <w:rFonts w:ascii="Gilroy-Regular" w:hAnsi="Gilroy-Regular"/>
          <w:color w:val="5F6368"/>
          <w:sz w:val="24"/>
          <w:szCs w:val="24"/>
        </w:rPr>
        <w:t>how the</w:t>
      </w:r>
      <w:r w:rsidR="004546A8" w:rsidRPr="00F93555">
        <w:rPr>
          <w:rFonts w:ascii="Gilroy-Regular" w:hAnsi="Gilroy-Regular"/>
          <w:color w:val="5F6368"/>
          <w:sz w:val="24"/>
          <w:szCs w:val="24"/>
        </w:rPr>
        <w:t xml:space="preserve"> topic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 i</w:t>
      </w:r>
      <w:r w:rsidR="001F6F35">
        <w:rPr>
          <w:rFonts w:ascii="Gilroy-Regular" w:hAnsi="Gilroy-Regular"/>
          <w:color w:val="5F6368"/>
          <w:sz w:val="24"/>
          <w:szCs w:val="24"/>
        </w:rPr>
        <w:t>mpacts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 your business.</w:t>
      </w:r>
      <w:r w:rsidR="00F93555">
        <w:rPr>
          <w:rFonts w:ascii="Gilroy-Regular" w:hAnsi="Gilroy-Regular"/>
          <w:color w:val="5F6368"/>
          <w:sz w:val="24"/>
          <w:szCs w:val="24"/>
        </w:rPr>
        <w:br/>
      </w:r>
    </w:p>
    <w:tbl>
      <w:tblPr>
        <w:tblStyle w:val="a1"/>
        <w:tblW w:w="13740" w:type="dxa"/>
        <w:tblBorders>
          <w:top w:val="single" w:sz="8" w:space="0" w:color="FE6C04" w:themeColor="text1"/>
          <w:left w:val="single" w:sz="8" w:space="0" w:color="FE6C04" w:themeColor="text1"/>
          <w:bottom w:val="single" w:sz="8" w:space="0" w:color="FE6C04" w:themeColor="text1"/>
          <w:right w:val="single" w:sz="8" w:space="0" w:color="FE6C04" w:themeColor="text1"/>
          <w:insideH w:val="single" w:sz="8" w:space="0" w:color="FE6C04" w:themeColor="text1"/>
          <w:insideV w:val="single" w:sz="8" w:space="0" w:color="FE6C04" w:themeColor="text1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0910"/>
      </w:tblGrid>
      <w:tr w:rsidR="00C75860" w14:paraId="1BDB9F18" w14:textId="77777777" w:rsidTr="004D1BCA">
        <w:trPr>
          <w:trHeight w:val="645"/>
        </w:trPr>
        <w:tc>
          <w:tcPr>
            <w:tcW w:w="2830" w:type="dxa"/>
            <w:shd w:val="clear" w:color="auto" w:fill="FEE1CC" w:themeFill="text1" w:themeFillTint="33"/>
          </w:tcPr>
          <w:p w14:paraId="6375F21B" w14:textId="689A6A0F" w:rsidR="00C75860" w:rsidRPr="00204DE2" w:rsidRDefault="005A1F8A" w:rsidP="00166004">
            <w:pPr>
              <w:widowControl/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Date</w:t>
            </w:r>
            <w:r w:rsidR="00C75860" w:rsidRPr="00204DE2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:</w:t>
            </w:r>
            <w:r w:rsidR="00AF47B7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_____________</w:t>
            </w:r>
          </w:p>
        </w:tc>
        <w:tc>
          <w:tcPr>
            <w:tcW w:w="10910" w:type="dxa"/>
            <w:shd w:val="clear" w:color="auto" w:fill="FEE1CC" w:themeFill="text1" w:themeFillTint="33"/>
          </w:tcPr>
          <w:p w14:paraId="49A6B787" w14:textId="725F309A" w:rsidR="00C75860" w:rsidRPr="00204DE2" w:rsidRDefault="005A1F8A" w:rsidP="00C75860">
            <w:pPr>
              <w:widowControl/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Topic</w:t>
            </w:r>
            <w:r w:rsidR="00C75860" w:rsidRPr="00204DE2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:</w:t>
            </w:r>
            <w:r w:rsidR="00C75860" w:rsidRPr="00204DE2"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  <w:t xml:space="preserve"> </w:t>
            </w:r>
          </w:p>
        </w:tc>
      </w:tr>
      <w:tr w:rsidR="00324D3A" w14:paraId="7F42EA88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03E65721" w14:textId="350A2FE8" w:rsidR="00324D3A" w:rsidRPr="00C20DCA" w:rsidRDefault="00324D3A" w:rsidP="00F93555">
            <w:pPr>
              <w:widowControl/>
              <w:spacing w:before="0"/>
              <w:rPr>
                <w:rFonts w:ascii="Gilroy-Bold" w:hAnsi="Gilroy-Bold"/>
                <w:bCs/>
                <w:color w:val="505759" w:themeColor="background2"/>
                <w:sz w:val="24"/>
                <w:szCs w:val="24"/>
              </w:rPr>
            </w:pPr>
            <w:r w:rsidRPr="00C20DCA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How often will you review this topic / your approach?</w:t>
            </w:r>
          </w:p>
        </w:tc>
        <w:tc>
          <w:tcPr>
            <w:tcW w:w="10910" w:type="dxa"/>
          </w:tcPr>
          <w:p w14:paraId="69C32A84" w14:textId="77777777" w:rsidR="00324D3A" w:rsidRPr="005A1F8A" w:rsidRDefault="00324D3A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324D3A" w14:paraId="05A12CD5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7E01987E" w14:textId="54A5F031" w:rsidR="00324D3A" w:rsidRPr="00C20DCA" w:rsidRDefault="00324D3A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C20DCA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Where will you get new information from?</w:t>
            </w:r>
          </w:p>
        </w:tc>
        <w:tc>
          <w:tcPr>
            <w:tcW w:w="10910" w:type="dxa"/>
          </w:tcPr>
          <w:p w14:paraId="3DB5E1B8" w14:textId="77777777" w:rsidR="00324D3A" w:rsidRPr="005A1F8A" w:rsidRDefault="00324D3A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324D3A" w14:paraId="56350274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70AD66E5" w14:textId="40B82F51" w:rsidR="00324D3A" w:rsidRPr="00C20DCA" w:rsidRDefault="003131AC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C20DCA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What other support do you need to access?</w:t>
            </w:r>
          </w:p>
        </w:tc>
        <w:tc>
          <w:tcPr>
            <w:tcW w:w="10910" w:type="dxa"/>
          </w:tcPr>
          <w:p w14:paraId="0E225574" w14:textId="77777777" w:rsidR="00324D3A" w:rsidRPr="005A1F8A" w:rsidRDefault="00324D3A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437615" w14:paraId="5A217B50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55998B63" w14:textId="3229DEE5" w:rsidR="00437615" w:rsidRPr="00C20DCA" w:rsidRDefault="00437615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C20DCA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Other notes and ideas:</w:t>
            </w:r>
          </w:p>
        </w:tc>
        <w:tc>
          <w:tcPr>
            <w:tcW w:w="10910" w:type="dxa"/>
          </w:tcPr>
          <w:p w14:paraId="7E8547D4" w14:textId="77777777" w:rsidR="00FB3082" w:rsidRPr="005A1F8A" w:rsidRDefault="00FB3082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</w:tbl>
    <w:p w14:paraId="2392FF6A" w14:textId="77777777" w:rsidR="00F93555" w:rsidRDefault="00F93555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</w:rPr>
        <w:sectPr w:rsidR="00F93555" w:rsidSect="00EA2366">
          <w:headerReference w:type="default" r:id="rId12"/>
          <w:pgSz w:w="16838" w:h="11906" w:orient="landscape"/>
          <w:pgMar w:top="1440" w:right="1440" w:bottom="1440" w:left="1440" w:header="0" w:footer="720" w:gutter="0"/>
          <w:pgNumType w:start="2"/>
          <w:cols w:space="720"/>
          <w:docGrid w:linePitch="299"/>
        </w:sectPr>
      </w:pPr>
    </w:p>
    <w:p w14:paraId="1B59EA15" w14:textId="77777777" w:rsidR="00166004" w:rsidRPr="007525A0" w:rsidRDefault="00166004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</w:rPr>
      </w:pPr>
    </w:p>
    <w:tbl>
      <w:tblPr>
        <w:tblStyle w:val="a"/>
        <w:tblW w:w="13887" w:type="dxa"/>
        <w:tblBorders>
          <w:top w:val="single" w:sz="8" w:space="0" w:color="032F6C" w:themeColor="text2"/>
          <w:left w:val="single" w:sz="8" w:space="0" w:color="032F6C" w:themeColor="text2"/>
          <w:bottom w:val="single" w:sz="8" w:space="0" w:color="032F6C" w:themeColor="text2"/>
          <w:right w:val="single" w:sz="8" w:space="0" w:color="032F6C" w:themeColor="text2"/>
          <w:insideH w:val="single" w:sz="8" w:space="0" w:color="032F6C" w:themeColor="text2"/>
          <w:insideV w:val="single" w:sz="8" w:space="0" w:color="032F6C" w:themeColor="text2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672"/>
        <w:gridCol w:w="2990"/>
        <w:gridCol w:w="2835"/>
        <w:gridCol w:w="2977"/>
      </w:tblGrid>
      <w:tr w:rsidR="006966D1" w14:paraId="76B27AB4" w14:textId="506D55E1" w:rsidTr="000D20D1">
        <w:trPr>
          <w:trHeight w:val="1003"/>
        </w:trPr>
        <w:tc>
          <w:tcPr>
            <w:tcW w:w="1413" w:type="dxa"/>
            <w:shd w:val="clear" w:color="auto" w:fill="B1D0FC" w:themeFill="text2" w:themeFillTint="33"/>
          </w:tcPr>
          <w:p w14:paraId="5D014C8A" w14:textId="1ED0E306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Action Reference</w:t>
            </w:r>
          </w:p>
        </w:tc>
        <w:tc>
          <w:tcPr>
            <w:tcW w:w="3672" w:type="dxa"/>
            <w:shd w:val="clear" w:color="auto" w:fill="B1D0FC" w:themeFill="text2" w:themeFillTint="33"/>
          </w:tcPr>
          <w:p w14:paraId="15E2252C" w14:textId="6DF13CAB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Action</w:t>
            </w:r>
          </w:p>
        </w:tc>
        <w:tc>
          <w:tcPr>
            <w:tcW w:w="2990" w:type="dxa"/>
            <w:shd w:val="clear" w:color="auto" w:fill="B1D0FC" w:themeFill="text2" w:themeFillTint="33"/>
          </w:tcPr>
          <w:p w14:paraId="1FB8D710" w14:textId="35363398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Who is responsible for implementing the action?</w:t>
            </w:r>
          </w:p>
        </w:tc>
        <w:tc>
          <w:tcPr>
            <w:tcW w:w="2835" w:type="dxa"/>
            <w:shd w:val="clear" w:color="auto" w:fill="B1D0FC" w:themeFill="text2" w:themeFillTint="33"/>
          </w:tcPr>
          <w:p w14:paraId="111F3EA2" w14:textId="5307141B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 xml:space="preserve">What is the planned deadline for the action? </w:t>
            </w:r>
          </w:p>
        </w:tc>
        <w:tc>
          <w:tcPr>
            <w:tcW w:w="2977" w:type="dxa"/>
            <w:shd w:val="clear" w:color="auto" w:fill="B1D0FC" w:themeFill="text2" w:themeFillTint="33"/>
          </w:tcPr>
          <w:p w14:paraId="0D848649" w14:textId="5582BC50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How will you measure the success of this action?</w:t>
            </w:r>
          </w:p>
        </w:tc>
      </w:tr>
      <w:tr w:rsidR="006966D1" w14:paraId="5FBFA2F5" w14:textId="56A97DD1" w:rsidTr="000D20D1">
        <w:trPr>
          <w:trHeight w:val="1697"/>
        </w:trPr>
        <w:tc>
          <w:tcPr>
            <w:tcW w:w="1413" w:type="dxa"/>
          </w:tcPr>
          <w:p w14:paraId="64C44D1A" w14:textId="48D240C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6B58307D" w14:textId="6F162385" w:rsidR="0082457A" w:rsidRPr="005A1F8A" w:rsidRDefault="0082457A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14FD39F9" w14:textId="118D855A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A5C692" w14:textId="6C3E1FDA" w:rsidR="006966D1" w:rsidRPr="005A1F8A" w:rsidRDefault="006966D1" w:rsidP="005A1F8A">
            <w:pPr>
              <w:widowControl/>
              <w:spacing w:before="0"/>
              <w:jc w:val="center"/>
              <w:rPr>
                <w:rFonts w:ascii="Gilroy-Regular" w:hAnsi="Gilroy-Regular"/>
                <w:color w:val="B7B7B7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F4CA792" w14:textId="77777777" w:rsidR="006966D1" w:rsidRPr="005A1F8A" w:rsidRDefault="006966D1" w:rsidP="005A1F8A">
            <w:pPr>
              <w:widowControl/>
              <w:spacing w:before="0"/>
              <w:jc w:val="center"/>
              <w:rPr>
                <w:rFonts w:ascii="Gilroy-Regular" w:hAnsi="Gilroy-Regular"/>
                <w:color w:val="B7B7B7"/>
                <w:sz w:val="20"/>
                <w:szCs w:val="20"/>
              </w:rPr>
            </w:pPr>
          </w:p>
        </w:tc>
      </w:tr>
      <w:tr w:rsidR="006966D1" w14:paraId="6C01456A" w14:textId="7043E652" w:rsidTr="000D20D1">
        <w:trPr>
          <w:trHeight w:val="1777"/>
        </w:trPr>
        <w:tc>
          <w:tcPr>
            <w:tcW w:w="1413" w:type="dxa"/>
          </w:tcPr>
          <w:p w14:paraId="6022952C" w14:textId="450CBB9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1BD3F3E" w14:textId="77F1E966" w:rsidR="0082457A" w:rsidRPr="005A1F8A" w:rsidRDefault="0082457A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297030F1" w14:textId="232D3282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126032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E7C854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  <w:tr w:rsidR="006966D1" w14:paraId="4B98D063" w14:textId="680F1CD5" w:rsidTr="000D20D1">
        <w:trPr>
          <w:trHeight w:val="1675"/>
        </w:trPr>
        <w:tc>
          <w:tcPr>
            <w:tcW w:w="1413" w:type="dxa"/>
          </w:tcPr>
          <w:p w14:paraId="721D4D29" w14:textId="14861FE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4386F74" w14:textId="008A0371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4340060" w14:textId="5C89B8E5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96DC94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D20D3E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  <w:tr w:rsidR="006966D1" w14:paraId="2BEA5E72" w14:textId="5F5FDD87" w:rsidTr="000D20D1">
        <w:trPr>
          <w:trHeight w:val="1790"/>
        </w:trPr>
        <w:tc>
          <w:tcPr>
            <w:tcW w:w="1413" w:type="dxa"/>
          </w:tcPr>
          <w:p w14:paraId="6F23D7F5" w14:textId="788368D0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FCB25F6" w14:textId="72FB74E4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4BABCDB8" w14:textId="02517ECB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FFE469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C26991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</w:tbl>
    <w:p w14:paraId="24FA9BD2" w14:textId="7F3AACD9" w:rsidR="00E2756B" w:rsidRDefault="00E2756B" w:rsidP="0082457A">
      <w:pPr>
        <w:rPr>
          <w:rFonts w:ascii="Calibri" w:eastAsia="Calibri" w:hAnsi="Calibri" w:cs="Calibri"/>
          <w:color w:val="000000"/>
        </w:rPr>
      </w:pPr>
      <w:bookmarkStart w:id="0" w:name="_e4ss96jagatr" w:colFirst="0" w:colLast="0"/>
      <w:bookmarkStart w:id="1" w:name="_rgdj3cq1u6wg" w:colFirst="0" w:colLast="0"/>
      <w:bookmarkEnd w:id="0"/>
      <w:bookmarkEnd w:id="1"/>
    </w:p>
    <w:sectPr w:rsidR="00E2756B" w:rsidSect="00EA2366">
      <w:pgSz w:w="16838" w:h="11906" w:orient="landscape"/>
      <w:pgMar w:top="1440" w:right="1440" w:bottom="1135" w:left="1440" w:header="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2B1C" w14:textId="77777777" w:rsidR="00A20E99" w:rsidRDefault="00A20E99">
      <w:pPr>
        <w:spacing w:before="0" w:line="240" w:lineRule="auto"/>
      </w:pPr>
      <w:r>
        <w:separator/>
      </w:r>
    </w:p>
  </w:endnote>
  <w:endnote w:type="continuationSeparator" w:id="0">
    <w:p w14:paraId="132F5837" w14:textId="77777777" w:rsidR="00A20E99" w:rsidRDefault="00A20E9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roy-Regular" w:hAnsi="Gilroy-Regular"/>
        <w:sz w:val="24"/>
        <w:szCs w:val="24"/>
      </w:rPr>
      <w:id w:val="273060161"/>
      <w:docPartObj>
        <w:docPartGallery w:val="Page Numbers (Bottom of Page)"/>
        <w:docPartUnique/>
      </w:docPartObj>
    </w:sdtPr>
    <w:sdtEndPr/>
    <w:sdtContent>
      <w:sdt>
        <w:sdtPr>
          <w:rPr>
            <w:rFonts w:ascii="Gilroy-Regular" w:hAnsi="Gilroy-Regular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04842" w14:textId="0ED7CEBF" w:rsidR="00C82E99" w:rsidRPr="004D2243" w:rsidRDefault="00C82E99">
            <w:pPr>
              <w:pStyle w:val="Footer"/>
              <w:jc w:val="center"/>
              <w:rPr>
                <w:rFonts w:ascii="Gilroy-Regular" w:hAnsi="Gilroy-Regular"/>
                <w:sz w:val="24"/>
                <w:szCs w:val="24"/>
              </w:rPr>
            </w:pPr>
            <w:r w:rsidRPr="004D2243">
              <w:rPr>
                <w:rFonts w:ascii="Gilroy-Regular" w:hAnsi="Gilroy-Regular"/>
                <w:sz w:val="24"/>
                <w:szCs w:val="24"/>
              </w:rPr>
              <w:t xml:space="preserve">Page 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begin"/>
            </w:r>
            <w:r w:rsidRPr="004D2243">
              <w:rPr>
                <w:rFonts w:ascii="Gilroy-Regular" w:hAnsi="Gilroy-Regular"/>
                <w:sz w:val="24"/>
                <w:szCs w:val="24"/>
              </w:rPr>
              <w:instrText xml:space="preserve"> PAGE </w:instrTex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separate"/>
            </w:r>
            <w:r w:rsidRPr="004D2243">
              <w:rPr>
                <w:rFonts w:ascii="Gilroy-Regular" w:hAnsi="Gilroy-Regular"/>
                <w:noProof/>
                <w:sz w:val="24"/>
                <w:szCs w:val="24"/>
              </w:rPr>
              <w:t>2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end"/>
            </w:r>
            <w:r w:rsidRPr="004D2243">
              <w:rPr>
                <w:rFonts w:ascii="Gilroy-Regular" w:hAnsi="Gilroy-Regular"/>
                <w:sz w:val="24"/>
                <w:szCs w:val="24"/>
              </w:rPr>
              <w:t xml:space="preserve"> of 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begin"/>
            </w:r>
            <w:r w:rsidRPr="004D2243">
              <w:rPr>
                <w:rFonts w:ascii="Gilroy-Regular" w:hAnsi="Gilroy-Regular"/>
                <w:sz w:val="24"/>
                <w:szCs w:val="24"/>
              </w:rPr>
              <w:instrText xml:space="preserve"> NUMPAGES  </w:instrTex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separate"/>
            </w:r>
            <w:r w:rsidRPr="004D2243">
              <w:rPr>
                <w:rFonts w:ascii="Gilroy-Regular" w:hAnsi="Gilroy-Regular"/>
                <w:noProof/>
                <w:sz w:val="24"/>
                <w:szCs w:val="24"/>
              </w:rPr>
              <w:t>2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end"/>
            </w:r>
          </w:p>
        </w:sdtContent>
      </w:sdt>
    </w:sdtContent>
  </w:sdt>
  <w:p w14:paraId="3A4DC4B2" w14:textId="77777777" w:rsidR="00C82E99" w:rsidRDefault="00C82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4000" w14:textId="77777777" w:rsidR="00A20E99" w:rsidRDefault="00A20E99">
      <w:pPr>
        <w:spacing w:before="0" w:line="240" w:lineRule="auto"/>
      </w:pPr>
      <w:r>
        <w:separator/>
      </w:r>
    </w:p>
  </w:footnote>
  <w:footnote w:type="continuationSeparator" w:id="0">
    <w:p w14:paraId="6DCEF96A" w14:textId="77777777" w:rsidR="00A20E99" w:rsidRDefault="00A20E9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DCB3" w14:textId="77777777" w:rsidR="00433415" w:rsidRDefault="00433415">
    <w:pPr>
      <w:pStyle w:val="Header"/>
    </w:pPr>
  </w:p>
  <w:p w14:paraId="5E104925" w14:textId="77777777" w:rsidR="00433415" w:rsidRDefault="00433415">
    <w:pPr>
      <w:pStyle w:val="Header"/>
    </w:pPr>
  </w:p>
  <w:p w14:paraId="1BF48DF8" w14:textId="56585634" w:rsidR="00433415" w:rsidRDefault="00433415" w:rsidP="00485C69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FD86A4D" wp14:editId="3D89D36B">
          <wp:simplePos x="0" y="0"/>
          <wp:positionH relativeFrom="column">
            <wp:posOffset>0</wp:posOffset>
          </wp:positionH>
          <wp:positionV relativeFrom="paragraph">
            <wp:posOffset>-173</wp:posOffset>
          </wp:positionV>
          <wp:extent cx="1249200" cy="457200"/>
          <wp:effectExtent l="0" t="0" r="8255" b="0"/>
          <wp:wrapNone/>
          <wp:docPr id="4" name="image1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text, clipar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03049" w:rsidRPr="00803049">
      <w:rPr>
        <w:rFonts w:ascii="Palatino Linotype" w:hAnsi="Palatino Linotype"/>
        <w:color w:val="FE6C04"/>
        <w:sz w:val="28"/>
        <w:szCs w:val="28"/>
      </w:rPr>
      <w:t xml:space="preserve"> </w:t>
    </w:r>
    <w:r w:rsidR="00803049">
      <w:rPr>
        <w:rFonts w:ascii="Palatino Linotype" w:hAnsi="Palatino Linotype"/>
        <w:color w:val="FE6C04"/>
        <w:sz w:val="28"/>
        <w:szCs w:val="28"/>
      </w:rPr>
      <w:tab/>
    </w:r>
    <w:r w:rsidR="00803049">
      <w:rPr>
        <w:rFonts w:ascii="Palatino Linotype" w:hAnsi="Palatino Linotype"/>
        <w:color w:val="FE6C04"/>
        <w:sz w:val="28"/>
        <w:szCs w:val="28"/>
      </w:rPr>
      <w:tab/>
    </w:r>
    <w:r w:rsidR="00580ECE">
      <w:rPr>
        <w:rFonts w:ascii="Palatino Linotype" w:hAnsi="Palatino Linotype"/>
        <w:color w:val="FE6C04"/>
        <w:sz w:val="28"/>
        <w:szCs w:val="28"/>
      </w:rPr>
      <w:t>DOING BUSINESS BETTER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5FD6" w14:textId="77777777" w:rsidR="00BC3788" w:rsidRDefault="00BC3788">
    <w:pPr>
      <w:pStyle w:val="Header"/>
    </w:pPr>
  </w:p>
  <w:p w14:paraId="57DC58B3" w14:textId="77777777" w:rsidR="00BC3788" w:rsidRDefault="00BC3788">
    <w:pPr>
      <w:pStyle w:val="Header"/>
    </w:pPr>
  </w:p>
  <w:p w14:paraId="3B43C191" w14:textId="1FE35B6C" w:rsidR="00BC3788" w:rsidRDefault="00BC3788" w:rsidP="00485C69">
    <w:pPr>
      <w:pStyle w:val="Head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316598CA" wp14:editId="21A3514E">
          <wp:simplePos x="0" y="0"/>
          <wp:positionH relativeFrom="column">
            <wp:posOffset>0</wp:posOffset>
          </wp:positionH>
          <wp:positionV relativeFrom="paragraph">
            <wp:posOffset>-173</wp:posOffset>
          </wp:positionV>
          <wp:extent cx="1249200" cy="457200"/>
          <wp:effectExtent l="0" t="0" r="8255" b="0"/>
          <wp:wrapNone/>
          <wp:docPr id="1" name="image1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text, clipar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03049">
      <w:rPr>
        <w:rFonts w:ascii="Palatino Linotype" w:hAnsi="Palatino Linotype"/>
        <w:color w:val="FE6C04"/>
        <w:sz w:val="28"/>
        <w:szCs w:val="28"/>
      </w:rPr>
      <w:t xml:space="preserve"> </w:t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 w:rsidR="002E10BA">
      <w:rPr>
        <w:rFonts w:ascii="Palatino Linotype" w:hAnsi="Palatino Linotype"/>
        <w:color w:val="FE6C04"/>
        <w:sz w:val="28"/>
        <w:szCs w:val="28"/>
      </w:rPr>
      <w:t>DOING BUSINESS BETTER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4DFF"/>
    <w:multiLevelType w:val="multilevel"/>
    <w:tmpl w:val="AE0C6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D9143A"/>
    <w:multiLevelType w:val="multilevel"/>
    <w:tmpl w:val="47089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615752"/>
    <w:multiLevelType w:val="multilevel"/>
    <w:tmpl w:val="55040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7C5EB5"/>
    <w:multiLevelType w:val="hybridMultilevel"/>
    <w:tmpl w:val="35F6A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28227">
    <w:abstractNumId w:val="1"/>
  </w:num>
  <w:num w:numId="2" w16cid:durableId="949749170">
    <w:abstractNumId w:val="2"/>
  </w:num>
  <w:num w:numId="3" w16cid:durableId="2060282165">
    <w:abstractNumId w:val="0"/>
  </w:num>
  <w:num w:numId="4" w16cid:durableId="16208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F1"/>
    <w:rsid w:val="00030D72"/>
    <w:rsid w:val="0006368D"/>
    <w:rsid w:val="000A6461"/>
    <w:rsid w:val="000B0F5A"/>
    <w:rsid w:val="000B544A"/>
    <w:rsid w:val="000D20D1"/>
    <w:rsid w:val="000F020D"/>
    <w:rsid w:val="00150FE7"/>
    <w:rsid w:val="001603F7"/>
    <w:rsid w:val="00163951"/>
    <w:rsid w:val="00166004"/>
    <w:rsid w:val="001A1737"/>
    <w:rsid w:val="001C44F4"/>
    <w:rsid w:val="001E3034"/>
    <w:rsid w:val="001F6F35"/>
    <w:rsid w:val="00204DE2"/>
    <w:rsid w:val="00233421"/>
    <w:rsid w:val="00264B60"/>
    <w:rsid w:val="00292392"/>
    <w:rsid w:val="002B0633"/>
    <w:rsid w:val="002D0FD8"/>
    <w:rsid w:val="002E10BA"/>
    <w:rsid w:val="00301D6F"/>
    <w:rsid w:val="0030590A"/>
    <w:rsid w:val="003131AC"/>
    <w:rsid w:val="0031753D"/>
    <w:rsid w:val="00322917"/>
    <w:rsid w:val="00324D3A"/>
    <w:rsid w:val="00327C38"/>
    <w:rsid w:val="00332A6B"/>
    <w:rsid w:val="003411CB"/>
    <w:rsid w:val="003E7308"/>
    <w:rsid w:val="00433415"/>
    <w:rsid w:val="00434D69"/>
    <w:rsid w:val="00437615"/>
    <w:rsid w:val="004546A8"/>
    <w:rsid w:val="00454AF6"/>
    <w:rsid w:val="0047411A"/>
    <w:rsid w:val="004856E6"/>
    <w:rsid w:val="00485C69"/>
    <w:rsid w:val="004A0E72"/>
    <w:rsid w:val="004C523A"/>
    <w:rsid w:val="004D1BCA"/>
    <w:rsid w:val="004D2243"/>
    <w:rsid w:val="005066F1"/>
    <w:rsid w:val="0053203D"/>
    <w:rsid w:val="0056470A"/>
    <w:rsid w:val="00573237"/>
    <w:rsid w:val="00580ECE"/>
    <w:rsid w:val="00581B7B"/>
    <w:rsid w:val="00594F26"/>
    <w:rsid w:val="005A1F8A"/>
    <w:rsid w:val="005B5EE7"/>
    <w:rsid w:val="005C6CBE"/>
    <w:rsid w:val="006525B6"/>
    <w:rsid w:val="00687448"/>
    <w:rsid w:val="006966D1"/>
    <w:rsid w:val="006C1E21"/>
    <w:rsid w:val="006E1B64"/>
    <w:rsid w:val="00701C7A"/>
    <w:rsid w:val="0070280B"/>
    <w:rsid w:val="007072B0"/>
    <w:rsid w:val="00716CB7"/>
    <w:rsid w:val="00740800"/>
    <w:rsid w:val="00750F18"/>
    <w:rsid w:val="007525A0"/>
    <w:rsid w:val="00760EE4"/>
    <w:rsid w:val="0077581C"/>
    <w:rsid w:val="00796AE5"/>
    <w:rsid w:val="007C1F01"/>
    <w:rsid w:val="007D1384"/>
    <w:rsid w:val="007D3981"/>
    <w:rsid w:val="007E6FAB"/>
    <w:rsid w:val="008009FE"/>
    <w:rsid w:val="00803049"/>
    <w:rsid w:val="00822F97"/>
    <w:rsid w:val="008232E8"/>
    <w:rsid w:val="0082457A"/>
    <w:rsid w:val="0083057A"/>
    <w:rsid w:val="008414BD"/>
    <w:rsid w:val="008E4529"/>
    <w:rsid w:val="008E5D5A"/>
    <w:rsid w:val="008F6C3C"/>
    <w:rsid w:val="00940551"/>
    <w:rsid w:val="00972292"/>
    <w:rsid w:val="00975C6A"/>
    <w:rsid w:val="00982DDD"/>
    <w:rsid w:val="009A0ACB"/>
    <w:rsid w:val="009A1CC5"/>
    <w:rsid w:val="009B31AF"/>
    <w:rsid w:val="00A20E99"/>
    <w:rsid w:val="00A451C1"/>
    <w:rsid w:val="00A50DFB"/>
    <w:rsid w:val="00AF47B7"/>
    <w:rsid w:val="00B057DF"/>
    <w:rsid w:val="00B2291B"/>
    <w:rsid w:val="00B40727"/>
    <w:rsid w:val="00BA1F18"/>
    <w:rsid w:val="00BC3788"/>
    <w:rsid w:val="00BD6730"/>
    <w:rsid w:val="00BD76DA"/>
    <w:rsid w:val="00C20DCA"/>
    <w:rsid w:val="00C6402F"/>
    <w:rsid w:val="00C75860"/>
    <w:rsid w:val="00C8149F"/>
    <w:rsid w:val="00C82E99"/>
    <w:rsid w:val="00CC40B6"/>
    <w:rsid w:val="00CD18D2"/>
    <w:rsid w:val="00CE7A08"/>
    <w:rsid w:val="00CF2F2F"/>
    <w:rsid w:val="00D101DE"/>
    <w:rsid w:val="00D33EDA"/>
    <w:rsid w:val="00D61681"/>
    <w:rsid w:val="00D814D3"/>
    <w:rsid w:val="00D83330"/>
    <w:rsid w:val="00D926B7"/>
    <w:rsid w:val="00DA404E"/>
    <w:rsid w:val="00DA69F4"/>
    <w:rsid w:val="00DB41CC"/>
    <w:rsid w:val="00DB65AF"/>
    <w:rsid w:val="00E2756B"/>
    <w:rsid w:val="00E61690"/>
    <w:rsid w:val="00E9456A"/>
    <w:rsid w:val="00EA2366"/>
    <w:rsid w:val="00ED5F9B"/>
    <w:rsid w:val="00F0199E"/>
    <w:rsid w:val="00F25726"/>
    <w:rsid w:val="00F63CD8"/>
    <w:rsid w:val="00F65F43"/>
    <w:rsid w:val="00F93555"/>
    <w:rsid w:val="00FA6AB5"/>
    <w:rsid w:val="00FB3082"/>
    <w:rsid w:val="00FB5FDD"/>
    <w:rsid w:val="00FE281F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3CA20"/>
  <w15:docId w15:val="{E6705FD5-7CCD-4756-BA2A-38F55C50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erif" w:eastAsia="Droid Serif" w:hAnsi="Droid Serif" w:cs="Droid Serif"/>
        <w:color w:val="666666"/>
        <w:sz w:val="22"/>
        <w:szCs w:val="22"/>
        <w:lang w:val="en-GB" w:eastAsia="en-GB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8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6E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2756B"/>
  </w:style>
  <w:style w:type="paragraph" w:styleId="ListParagraph">
    <w:name w:val="List Paragraph"/>
    <w:basedOn w:val="Normal"/>
    <w:uiPriority w:val="34"/>
    <w:qFormat/>
    <w:rsid w:val="00532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B7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B7B"/>
  </w:style>
  <w:style w:type="paragraph" w:styleId="Footer">
    <w:name w:val="footer"/>
    <w:basedOn w:val="Normal"/>
    <w:link w:val="FooterChar"/>
    <w:uiPriority w:val="99"/>
    <w:unhideWhenUsed/>
    <w:rsid w:val="00581B7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B7B"/>
  </w:style>
  <w:style w:type="character" w:styleId="Strong">
    <w:name w:val="Strong"/>
    <w:basedOn w:val="DefaultParagraphFont"/>
    <w:uiPriority w:val="22"/>
    <w:qFormat/>
    <w:rsid w:val="004A0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MU colours">
      <a:dk1>
        <a:srgbClr val="FE6C04"/>
      </a:dk1>
      <a:lt1>
        <a:srgbClr val="00C1D4"/>
      </a:lt1>
      <a:dk2>
        <a:srgbClr val="032F6C"/>
      </a:dk2>
      <a:lt2>
        <a:srgbClr val="505759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MU">
      <a:majorFont>
        <a:latin typeface="Palatino Linotype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cf351b-8332-4b9a-a0b7-62298c44fe93" xsi:nil="true"/>
    <lcf76f155ced4ddcb4097134ff3c332f xmlns="f7f0bedb-2fa7-456e-99bd-f300952510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7606D256B774F8AC0229E5B3E5478" ma:contentTypeVersion="12" ma:contentTypeDescription="Create a new document." ma:contentTypeScope="" ma:versionID="1aba5a67cdc587e83c838319ac7866ad">
  <xsd:schema xmlns:xsd="http://www.w3.org/2001/XMLSchema" xmlns:xs="http://www.w3.org/2001/XMLSchema" xmlns:p="http://schemas.microsoft.com/office/2006/metadata/properties" xmlns:ns2="f7f0bedb-2fa7-456e-99bd-f30095251085" xmlns:ns3="59cf351b-8332-4b9a-a0b7-62298c44fe93" targetNamespace="http://schemas.microsoft.com/office/2006/metadata/properties" ma:root="true" ma:fieldsID="b83bb5f5915491fa9e9da87ca4682ae2" ns2:_="" ns3:_="">
    <xsd:import namespace="f7f0bedb-2fa7-456e-99bd-f30095251085"/>
    <xsd:import namespace="59cf351b-8332-4b9a-a0b7-62298c44f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bedb-2fa7-456e-99bd-f30095251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d4c506-e2aa-436a-9dbd-af2c1579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f351b-8332-4b9a-a0b7-62298c44f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21326e-f08e-4a1b-a909-0a6133b34783}" ma:internalName="TaxCatchAll" ma:showField="CatchAllData" ma:web="59cf351b-8332-4b9a-a0b7-62298c44f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B48CE-7706-469C-82BB-FC473DEC2EDB}">
  <ds:schemaRefs>
    <ds:schemaRef ds:uri="http://schemas.openxmlformats.org/package/2006/metadata/core-properties"/>
    <ds:schemaRef ds:uri="http://schemas.microsoft.com/office/2006/documentManagement/types"/>
    <ds:schemaRef ds:uri="59cf351b-8332-4b9a-a0b7-62298c44fe93"/>
    <ds:schemaRef ds:uri="f7f0bedb-2fa7-456e-99bd-f30095251085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2A0C7A-2DEA-44BE-8F60-A99924A9C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542E4-5B65-40DC-8F12-4224491A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bedb-2fa7-456e-99bd-f30095251085"/>
    <ds:schemaRef ds:uri="59cf351b-8332-4b9a-a0b7-62298c44f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Watson</dc:creator>
  <cp:lastModifiedBy>Jacqueline Carter</cp:lastModifiedBy>
  <cp:revision>2</cp:revision>
  <dcterms:created xsi:type="dcterms:W3CDTF">2025-05-14T13:31:00Z</dcterms:created>
  <dcterms:modified xsi:type="dcterms:W3CDTF">2025-05-14T13:31:00Z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0x010100A1E7606D256B774F8AC0229E5B3E5478</vt:lpwstr>
  </property>
</Properties>
</file>